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0FA8" w14:textId="4FA92DA9" w:rsidR="00EE56A7" w:rsidRPr="00AD5A65" w:rsidRDefault="00EE56A7" w:rsidP="00730E8E">
      <w:pPr>
        <w:widowControl w:val="0"/>
        <w:autoSpaceDE w:val="0"/>
        <w:autoSpaceDN w:val="0"/>
        <w:adjustRightInd w:val="0"/>
        <w:spacing w:before="120" w:after="120" w:line="240" w:lineRule="auto"/>
        <w:rPr>
          <w:rFonts w:ascii="Arial" w:hAnsi="Arial" w:cs="Arial"/>
          <w:b/>
          <w:bCs/>
        </w:rPr>
      </w:pPr>
      <w:bookmarkStart w:id="0" w:name="_Hlk124755149"/>
      <w:bookmarkStart w:id="1" w:name="_Hlk127793733"/>
      <w:r>
        <w:rPr>
          <w:rFonts w:ascii="Arial" w:hAnsi="Arial" w:cs="Arial"/>
        </w:rPr>
        <w:t xml:space="preserve">To: </w:t>
      </w:r>
      <w:r w:rsidR="003B595D">
        <w:rPr>
          <w:rFonts w:ascii="Arial" w:hAnsi="Arial" w:cs="Arial"/>
        </w:rPr>
        <w:t>[●]</w:t>
      </w:r>
      <w:r w:rsidR="003A34DD" w:rsidRPr="003A34DD">
        <w:rPr>
          <w:rFonts w:ascii="Arial" w:hAnsi="Arial" w:cs="Arial"/>
        </w:rPr>
        <w:t xml:space="preserve"> </w:t>
      </w:r>
      <w:r w:rsidRPr="00AD5A65">
        <w:rPr>
          <w:rFonts w:ascii="Arial" w:hAnsi="Arial" w:cs="Arial"/>
          <w:b/>
          <w:bCs/>
        </w:rPr>
        <w:t>("</w:t>
      </w:r>
      <w:r w:rsidR="00632356">
        <w:rPr>
          <w:rFonts w:ascii="Arial" w:hAnsi="Arial" w:cs="Arial"/>
          <w:b/>
          <w:bCs/>
        </w:rPr>
        <w:t>Lead Partner</w:t>
      </w:r>
      <w:r w:rsidRPr="00AD5A65">
        <w:rPr>
          <w:rFonts w:ascii="Arial" w:hAnsi="Arial" w:cs="Arial"/>
          <w:b/>
          <w:bCs/>
        </w:rPr>
        <w:t xml:space="preserve">") </w:t>
      </w:r>
    </w:p>
    <w:p w14:paraId="0F679333" w14:textId="7B2B24D7" w:rsidR="00195F6F" w:rsidRDefault="00706DF5" w:rsidP="00730E8E">
      <w:pPr>
        <w:widowControl w:val="0"/>
        <w:autoSpaceDE w:val="0"/>
        <w:autoSpaceDN w:val="0"/>
        <w:adjustRightInd w:val="0"/>
        <w:spacing w:before="120" w:after="120" w:line="240" w:lineRule="auto"/>
        <w:rPr>
          <w:rFonts w:ascii="Arial" w:hAnsi="Arial" w:cs="Arial"/>
        </w:rPr>
      </w:pPr>
      <w:r w:rsidRPr="3D0B1B74">
        <w:rPr>
          <w:rFonts w:ascii="Arial" w:hAnsi="Arial" w:cs="Arial"/>
        </w:rPr>
        <w:t xml:space="preserve">Registered </w:t>
      </w:r>
      <w:r w:rsidR="00EE56A7" w:rsidRPr="3D0B1B74">
        <w:rPr>
          <w:rFonts w:ascii="Arial" w:hAnsi="Arial" w:cs="Arial"/>
        </w:rPr>
        <w:t>Address</w:t>
      </w:r>
      <w:r w:rsidR="00E85FE2" w:rsidRPr="3D0B1B74">
        <w:rPr>
          <w:rFonts w:ascii="Arial" w:hAnsi="Arial" w:cs="Arial"/>
        </w:rPr>
        <w:t xml:space="preserve">: </w:t>
      </w:r>
      <w:r w:rsidR="0072006E">
        <w:rPr>
          <w:rFonts w:ascii="Arial" w:hAnsi="Arial" w:cs="Arial"/>
        </w:rPr>
        <w:t>[●]</w:t>
      </w:r>
      <w:r w:rsidR="000771B9">
        <w:rPr>
          <w:rFonts w:ascii="Arial" w:hAnsi="Arial" w:cs="Arial"/>
        </w:rPr>
        <w:br/>
        <w:t>Email: [●]</w:t>
      </w:r>
    </w:p>
    <w:p w14:paraId="1386C5F9" w14:textId="456F79E3" w:rsidR="00EE56A7" w:rsidRDefault="00EA762F" w:rsidP="00730E8E">
      <w:pPr>
        <w:widowControl w:val="0"/>
        <w:autoSpaceDE w:val="0"/>
        <w:autoSpaceDN w:val="0"/>
        <w:adjustRightInd w:val="0"/>
        <w:spacing w:before="120" w:after="120" w:line="240" w:lineRule="auto"/>
        <w:rPr>
          <w:rFonts w:ascii="Arial" w:hAnsi="Arial" w:cs="Arial"/>
        </w:rPr>
      </w:pPr>
      <w:r w:rsidRPr="3D0B1B74">
        <w:rPr>
          <w:rFonts w:ascii="Arial" w:hAnsi="Arial" w:cs="Arial"/>
        </w:rPr>
        <w:t>Date</w:t>
      </w:r>
      <w:r w:rsidR="00E85FE2" w:rsidRPr="3D0B1B74">
        <w:rPr>
          <w:rFonts w:ascii="Arial" w:hAnsi="Arial" w:cs="Arial"/>
        </w:rPr>
        <w:t xml:space="preserve">: </w:t>
      </w:r>
      <w:r w:rsidR="0072006E">
        <w:rPr>
          <w:rFonts w:ascii="Arial" w:hAnsi="Arial" w:cs="Arial"/>
        </w:rPr>
        <w:t>[●]</w:t>
      </w:r>
      <w:r>
        <w:tab/>
      </w:r>
      <w:r>
        <w:tab/>
      </w:r>
      <w:r>
        <w:tab/>
      </w:r>
      <w:r>
        <w:tab/>
      </w:r>
      <w:r>
        <w:tab/>
      </w:r>
      <w:r>
        <w:tab/>
      </w:r>
      <w:r>
        <w:tab/>
      </w:r>
      <w:r>
        <w:tab/>
      </w:r>
      <w:r>
        <w:tab/>
      </w:r>
      <w:r>
        <w:tab/>
      </w:r>
      <w:r w:rsidR="00195F6F" w:rsidRPr="3D0B1B74">
        <w:rPr>
          <w:rFonts w:ascii="Arial" w:hAnsi="Arial" w:cs="Arial"/>
        </w:rPr>
        <w:t xml:space="preserve">Ref: </w:t>
      </w:r>
      <w:r w:rsidR="0072006E">
        <w:rPr>
          <w:rFonts w:ascii="Arial" w:hAnsi="Arial" w:cs="Arial"/>
        </w:rPr>
        <w:t>[●]</w:t>
      </w:r>
    </w:p>
    <w:p w14:paraId="3465AF02" w14:textId="77777777" w:rsidR="00EE56A7" w:rsidRPr="00AD5A65" w:rsidRDefault="00EE56A7" w:rsidP="00730E8E">
      <w:pPr>
        <w:widowControl w:val="0"/>
        <w:autoSpaceDE w:val="0"/>
        <w:autoSpaceDN w:val="0"/>
        <w:adjustRightInd w:val="0"/>
        <w:spacing w:before="120" w:after="120" w:line="240" w:lineRule="auto"/>
        <w:rPr>
          <w:rFonts w:ascii="Arial" w:hAnsi="Arial" w:cs="Arial"/>
        </w:rPr>
      </w:pPr>
    </w:p>
    <w:p w14:paraId="38B455DF" w14:textId="0A28EC3A" w:rsidR="006307AD" w:rsidRPr="00145BAC" w:rsidRDefault="0ACC4601" w:rsidP="7D6BE9DE">
      <w:pPr>
        <w:widowControl w:val="0"/>
        <w:autoSpaceDE w:val="0"/>
        <w:autoSpaceDN w:val="0"/>
        <w:adjustRightInd w:val="0"/>
        <w:spacing w:before="120" w:after="120" w:line="240" w:lineRule="auto"/>
        <w:jc w:val="center"/>
        <w:rPr>
          <w:rFonts w:ascii="Arial" w:hAnsi="Arial" w:cs="Arial"/>
          <w:b/>
          <w:bCs/>
          <w:highlight w:val="yellow"/>
          <w:u w:val="single"/>
        </w:rPr>
      </w:pPr>
      <w:r w:rsidRPr="00C97EC3">
        <w:rPr>
          <w:rFonts w:ascii="Arial" w:hAnsi="Arial" w:cs="Arial"/>
          <w:b/>
          <w:bCs/>
          <w:u w:val="single"/>
        </w:rPr>
        <w:t>Global Health Work</w:t>
      </w:r>
      <w:r w:rsidR="347BEFAB" w:rsidRPr="00C97EC3">
        <w:rPr>
          <w:rFonts w:ascii="Arial" w:hAnsi="Arial" w:cs="Arial"/>
          <w:b/>
          <w:bCs/>
          <w:u w:val="single"/>
        </w:rPr>
        <w:t>force Programme</w:t>
      </w:r>
    </w:p>
    <w:p w14:paraId="3BF7B97E" w14:textId="66046A63" w:rsidR="00EE56A7" w:rsidRDefault="00EE56A7" w:rsidP="00730E8E">
      <w:pPr>
        <w:widowControl w:val="0"/>
        <w:autoSpaceDE w:val="0"/>
        <w:autoSpaceDN w:val="0"/>
        <w:adjustRightInd w:val="0"/>
        <w:spacing w:before="120" w:after="120" w:line="240" w:lineRule="auto"/>
        <w:jc w:val="center"/>
        <w:rPr>
          <w:rFonts w:ascii="Arial" w:hAnsi="Arial" w:cs="Arial"/>
          <w:b/>
          <w:bCs/>
          <w:u w:val="single"/>
        </w:rPr>
      </w:pPr>
      <w:r>
        <w:rPr>
          <w:rFonts w:ascii="Arial" w:hAnsi="Arial" w:cs="Arial"/>
          <w:b/>
          <w:bCs/>
          <w:u w:val="single"/>
        </w:rPr>
        <w:t>Grant Ag</w:t>
      </w:r>
      <w:r w:rsidRPr="00AD5A65">
        <w:rPr>
          <w:rFonts w:ascii="Arial" w:hAnsi="Arial" w:cs="Arial"/>
          <w:b/>
          <w:bCs/>
          <w:u w:val="single"/>
        </w:rPr>
        <w:t>reement</w:t>
      </w:r>
    </w:p>
    <w:p w14:paraId="331B2E85" w14:textId="77777777" w:rsidR="004C0C0C" w:rsidRDefault="0099081E">
      <w:pPr>
        <w:pStyle w:val="MRNoHead1"/>
        <w:numPr>
          <w:ilvl w:val="0"/>
          <w:numId w:val="0"/>
        </w:numPr>
        <w:spacing w:line="240" w:lineRule="auto"/>
        <w:rPr>
          <w:rFonts w:cs="Arial"/>
        </w:rPr>
      </w:pPr>
      <w:r>
        <w:rPr>
          <w:b/>
        </w:rPr>
        <w:t xml:space="preserve">Project title: </w:t>
      </w:r>
      <w:r w:rsidR="004C0C0C">
        <w:rPr>
          <w:rFonts w:cs="Arial"/>
        </w:rPr>
        <w:t>[●]</w:t>
      </w:r>
    </w:p>
    <w:p w14:paraId="2993E17B" w14:textId="51315507" w:rsidR="00EE56A7" w:rsidRDefault="00EE56A7">
      <w:pPr>
        <w:pStyle w:val="MRNoHead1"/>
        <w:numPr>
          <w:ilvl w:val="0"/>
          <w:numId w:val="0"/>
        </w:numPr>
        <w:spacing w:line="240" w:lineRule="auto"/>
        <w:rPr>
          <w:b/>
        </w:rPr>
      </w:pPr>
      <w:r>
        <w:rPr>
          <w:b/>
        </w:rPr>
        <w:t xml:space="preserve">Grant Amount: </w:t>
      </w:r>
      <w:r w:rsidR="003317B3" w:rsidRPr="00E46F6B">
        <w:rPr>
          <w:bCs/>
        </w:rPr>
        <w:t>£</w:t>
      </w:r>
      <w:r w:rsidR="003317B3">
        <w:rPr>
          <w:rFonts w:cs="Arial"/>
        </w:rPr>
        <w:t xml:space="preserve"> [</w:t>
      </w:r>
      <w:r w:rsidR="0072006E">
        <w:rPr>
          <w:rFonts w:cs="Arial"/>
        </w:rPr>
        <w:t>●]</w:t>
      </w:r>
    </w:p>
    <w:p w14:paraId="4633D33B" w14:textId="77777777" w:rsidR="00EE56A7" w:rsidRPr="00432931" w:rsidRDefault="00EE56A7">
      <w:pPr>
        <w:pStyle w:val="MRNoHead1"/>
        <w:numPr>
          <w:ilvl w:val="0"/>
          <w:numId w:val="0"/>
        </w:numPr>
        <w:spacing w:line="240" w:lineRule="auto"/>
        <w:rPr>
          <w:b/>
        </w:rPr>
      </w:pPr>
      <w:r w:rsidRPr="00432931">
        <w:rPr>
          <w:b/>
        </w:rPr>
        <w:t xml:space="preserve">BACKGROUND </w:t>
      </w:r>
    </w:p>
    <w:p w14:paraId="4D3B4DB5" w14:textId="6BD93312" w:rsidR="00EE56A7" w:rsidRPr="00005822" w:rsidRDefault="28E5AFE9">
      <w:pPr>
        <w:pStyle w:val="MRheading5"/>
        <w:numPr>
          <w:ilvl w:val="4"/>
          <w:numId w:val="0"/>
        </w:numPr>
        <w:spacing w:line="240" w:lineRule="auto"/>
      </w:pPr>
      <w:r>
        <w:t>Pursuant to a</w:t>
      </w:r>
      <w:r w:rsidR="117E5794">
        <w:t xml:space="preserve"> </w:t>
      </w:r>
      <w:r w:rsidR="4CEEEDEE">
        <w:t xml:space="preserve">grant </w:t>
      </w:r>
      <w:r w:rsidR="485EF9B9">
        <w:t xml:space="preserve">agreement </w:t>
      </w:r>
      <w:r w:rsidR="4A2F58FF">
        <w:t xml:space="preserve">dated </w:t>
      </w:r>
      <w:r w:rsidR="00145BAC">
        <w:t>24</w:t>
      </w:r>
      <w:r w:rsidR="56D32BF5">
        <w:t xml:space="preserve"> August 2023</w:t>
      </w:r>
      <w:r w:rsidR="589D0E2F">
        <w:t xml:space="preserve"> </w:t>
      </w:r>
      <w:r w:rsidR="01A3A62F">
        <w:t>(the "</w:t>
      </w:r>
      <w:r w:rsidR="01A3A62F" w:rsidRPr="7D6BE9DE">
        <w:rPr>
          <w:b/>
          <w:bCs/>
        </w:rPr>
        <w:t>Funding Agreement</w:t>
      </w:r>
      <w:r w:rsidR="01A3A62F">
        <w:t xml:space="preserve">"), the Department </w:t>
      </w:r>
      <w:r w:rsidR="117E5794">
        <w:t>of Health and Social Care</w:t>
      </w:r>
      <w:r w:rsidR="01A3A62F">
        <w:t xml:space="preserve"> ("</w:t>
      </w:r>
      <w:r w:rsidR="117E5794" w:rsidRPr="7D6BE9DE">
        <w:rPr>
          <w:b/>
          <w:bCs/>
        </w:rPr>
        <w:t>DHSC</w:t>
      </w:r>
      <w:r w:rsidR="01A3A62F">
        <w:t>") awarded funding to the Tropical Health and Education Trust ("</w:t>
      </w:r>
      <w:r w:rsidR="01A3A62F" w:rsidRPr="7D6BE9DE">
        <w:rPr>
          <w:b/>
          <w:bCs/>
        </w:rPr>
        <w:t>THET</w:t>
      </w:r>
      <w:r w:rsidR="01A3A62F">
        <w:t xml:space="preserve">") for </w:t>
      </w:r>
      <w:r w:rsidR="4A2F58FF">
        <w:t xml:space="preserve">the </w:t>
      </w:r>
      <w:r w:rsidR="4A2F58FF" w:rsidRPr="00145BAC">
        <w:t xml:space="preserve">period </w:t>
      </w:r>
      <w:r w:rsidR="40A1D313" w:rsidRPr="00145BAC">
        <w:rPr>
          <w:rFonts w:cs="Arial"/>
        </w:rPr>
        <w:t xml:space="preserve">1 </w:t>
      </w:r>
      <w:r w:rsidR="351E083B" w:rsidRPr="00145BAC">
        <w:rPr>
          <w:rFonts w:cs="Arial"/>
        </w:rPr>
        <w:t>August 2023</w:t>
      </w:r>
      <w:r w:rsidR="40A1D313" w:rsidRPr="00145BAC">
        <w:rPr>
          <w:rFonts w:cs="Arial"/>
        </w:rPr>
        <w:t xml:space="preserve"> </w:t>
      </w:r>
      <w:r w:rsidR="117E5794" w:rsidRPr="00145BAC">
        <w:t xml:space="preserve">until </w:t>
      </w:r>
      <w:r w:rsidR="40A1D313" w:rsidRPr="00145BAC">
        <w:rPr>
          <w:rFonts w:cs="Arial"/>
        </w:rPr>
        <w:t>31 March 2025</w:t>
      </w:r>
      <w:r w:rsidR="772894F1" w:rsidRPr="00145BAC">
        <w:rPr>
          <w:rFonts w:cs="Arial"/>
        </w:rPr>
        <w:t xml:space="preserve"> </w:t>
      </w:r>
      <w:r w:rsidR="4A2F58FF" w:rsidRPr="00145BAC">
        <w:t xml:space="preserve">for </w:t>
      </w:r>
      <w:r w:rsidR="421253BC" w:rsidRPr="00145BAC">
        <w:t>the development of the health workforce in Kenya, Nigeria and Ghana, aiding them to build stronger, resilient health systems for post-pandemic recovery and to make progress towards universal health coverage</w:t>
      </w:r>
      <w:r w:rsidR="01A3A62F" w:rsidRPr="00145BAC">
        <w:t>s</w:t>
      </w:r>
      <w:r w:rsidR="01A3A62F">
        <w:t xml:space="preserve"> and meet other objectives of </w:t>
      </w:r>
      <w:r w:rsidR="117E5794">
        <w:t>DHSC</w:t>
      </w:r>
      <w:r w:rsidR="01A3A62F">
        <w:t xml:space="preserve">'s </w:t>
      </w:r>
      <w:r w:rsidR="5FAB5846">
        <w:t>Global Health Workforce Programme</w:t>
      </w:r>
      <w:r w:rsidR="01A3A62F">
        <w:t xml:space="preserve"> ("</w:t>
      </w:r>
      <w:r w:rsidR="4C574C7F" w:rsidRPr="7D6BE9DE">
        <w:rPr>
          <w:b/>
          <w:bCs/>
        </w:rPr>
        <w:t>GHWP</w:t>
      </w:r>
      <w:r w:rsidR="01A3A62F">
        <w:t xml:space="preserve">"). </w:t>
      </w:r>
      <w:r w:rsidR="03D86A64">
        <w:t>Th</w:t>
      </w:r>
      <w:r w:rsidR="4A2F58FF">
        <w:t>e Funding Ag</w:t>
      </w:r>
      <w:r w:rsidR="03D86A64">
        <w:t xml:space="preserve">reement specifically relates to the </w:t>
      </w:r>
      <w:r w:rsidR="4C574C7F">
        <w:t>GHWP</w:t>
      </w:r>
      <w:r w:rsidR="0A9210D1">
        <w:t xml:space="preserve"> </w:t>
      </w:r>
      <w:r w:rsidR="04139B12">
        <w:t>funding</w:t>
      </w:r>
      <w:r w:rsidR="03D86A64">
        <w:t xml:space="preserve"> stream.</w:t>
      </w:r>
    </w:p>
    <w:p w14:paraId="7720F955" w14:textId="7851B7FA" w:rsidR="00EE56A7" w:rsidRPr="00AD5A65" w:rsidRDefault="01A3A62F" w:rsidP="7D6BE9DE">
      <w:pPr>
        <w:pStyle w:val="MRheading5"/>
        <w:numPr>
          <w:ilvl w:val="4"/>
          <w:numId w:val="0"/>
        </w:numPr>
        <w:spacing w:line="240" w:lineRule="auto"/>
        <w:rPr>
          <w:rFonts w:cs="Arial"/>
        </w:rPr>
      </w:pPr>
      <w:r w:rsidRPr="7D6BE9DE">
        <w:rPr>
          <w:rFonts w:cs="Arial"/>
        </w:rPr>
        <w:t xml:space="preserve">THET has agreed to pay the Grant (as defined below) to the </w:t>
      </w:r>
      <w:r w:rsidR="7D62A095" w:rsidRPr="7D6BE9DE">
        <w:rPr>
          <w:rFonts w:cs="Arial"/>
        </w:rPr>
        <w:t>Lead Partner</w:t>
      </w:r>
      <w:r w:rsidRPr="7D6BE9DE">
        <w:rPr>
          <w:rFonts w:cs="Arial"/>
        </w:rPr>
        <w:t xml:space="preserve"> for the purposes of implementing </w:t>
      </w:r>
      <w:r w:rsidR="28E5AFE9" w:rsidRPr="7D6BE9DE">
        <w:rPr>
          <w:rFonts w:cs="Arial"/>
        </w:rPr>
        <w:t xml:space="preserve">activities </w:t>
      </w:r>
      <w:r w:rsidRPr="7D6BE9DE">
        <w:rPr>
          <w:rFonts w:cs="Arial"/>
        </w:rPr>
        <w:t xml:space="preserve">under the </w:t>
      </w:r>
      <w:r w:rsidR="4C574C7F" w:rsidRPr="7D6BE9DE">
        <w:rPr>
          <w:rFonts w:cs="Arial"/>
        </w:rPr>
        <w:t>GHWP</w:t>
      </w:r>
      <w:r w:rsidRPr="7D6BE9DE">
        <w:rPr>
          <w:rFonts w:cs="Arial"/>
        </w:rPr>
        <w:t xml:space="preserve"> </w:t>
      </w:r>
      <w:r w:rsidR="28E5AFE9" w:rsidRPr="7D6BE9DE">
        <w:rPr>
          <w:rFonts w:cs="Arial"/>
        </w:rPr>
        <w:t xml:space="preserve">subject to and </w:t>
      </w:r>
      <w:r w:rsidRPr="7D6BE9DE">
        <w:rPr>
          <w:rFonts w:cs="Arial"/>
        </w:rPr>
        <w:t>on the terms and conditions set out in this letter, which are intended to ensure that the Grant is used for the p</w:t>
      </w:r>
      <w:r w:rsidR="117E5794" w:rsidRPr="7D6BE9DE">
        <w:rPr>
          <w:rFonts w:cs="Arial"/>
        </w:rPr>
        <w:t xml:space="preserve">urpose for which it is awarded. </w:t>
      </w:r>
      <w:r w:rsidRPr="7D6BE9DE">
        <w:rPr>
          <w:rFonts w:cs="Arial"/>
        </w:rPr>
        <w:t xml:space="preserve">This letter together with </w:t>
      </w:r>
      <w:r w:rsidR="28E5AFE9" w:rsidRPr="7D6BE9DE">
        <w:rPr>
          <w:rFonts w:cs="Arial"/>
        </w:rPr>
        <w:t xml:space="preserve">its </w:t>
      </w:r>
      <w:r w:rsidRPr="7D6BE9DE">
        <w:rPr>
          <w:rFonts w:cs="Arial"/>
        </w:rPr>
        <w:t xml:space="preserve">schedules and </w:t>
      </w:r>
      <w:r w:rsidR="3DDED51B" w:rsidRPr="7D6BE9DE">
        <w:rPr>
          <w:rFonts w:cs="Arial"/>
        </w:rPr>
        <w:t>A</w:t>
      </w:r>
      <w:r w:rsidRPr="7D6BE9DE">
        <w:rPr>
          <w:rFonts w:cs="Arial"/>
        </w:rPr>
        <w:t xml:space="preserve">nnexes, when signed by both </w:t>
      </w:r>
      <w:r w:rsidR="3DDED51B" w:rsidRPr="7D6BE9DE">
        <w:rPr>
          <w:rFonts w:cs="Arial"/>
        </w:rPr>
        <w:t>Parties</w:t>
      </w:r>
      <w:r w:rsidRPr="7D6BE9DE">
        <w:rPr>
          <w:rFonts w:cs="Arial"/>
        </w:rPr>
        <w:t>, shall constitute the “</w:t>
      </w:r>
      <w:r w:rsidRPr="7D6BE9DE">
        <w:rPr>
          <w:rFonts w:cs="Arial"/>
          <w:b/>
          <w:bCs/>
        </w:rPr>
        <w:t>Agreement</w:t>
      </w:r>
      <w:r w:rsidRPr="7D6BE9DE">
        <w:rPr>
          <w:rFonts w:cs="Arial"/>
        </w:rPr>
        <w:t xml:space="preserve">”. Relevant definitions of terms used in this Agreement are set out </w:t>
      </w:r>
      <w:r w:rsidR="003F04CA">
        <w:rPr>
          <w:rFonts w:cs="Arial"/>
        </w:rPr>
        <w:t>in Schedule 1 (Definitions and Interpretation)</w:t>
      </w:r>
      <w:r w:rsidRPr="7D6BE9DE">
        <w:rPr>
          <w:rFonts w:cs="Arial"/>
        </w:rPr>
        <w:t>.</w:t>
      </w:r>
    </w:p>
    <w:p w14:paraId="470A3740" w14:textId="77777777" w:rsidR="00EE56A7" w:rsidRDefault="00EE56A7" w:rsidP="00730E8E">
      <w:pPr>
        <w:widowControl w:val="0"/>
        <w:autoSpaceDE w:val="0"/>
        <w:autoSpaceDN w:val="0"/>
        <w:adjustRightInd w:val="0"/>
        <w:spacing w:line="240" w:lineRule="auto"/>
        <w:jc w:val="both"/>
        <w:rPr>
          <w:rFonts w:ascii="Arial" w:hAnsi="Arial" w:cs="Arial"/>
          <w:b/>
          <w:bCs/>
        </w:rPr>
      </w:pPr>
    </w:p>
    <w:p w14:paraId="6DF67860" w14:textId="77777777" w:rsidR="00EE56A7" w:rsidRPr="00AD5A65" w:rsidRDefault="00EE56A7" w:rsidP="00730E8E">
      <w:pPr>
        <w:widowControl w:val="0"/>
        <w:autoSpaceDE w:val="0"/>
        <w:autoSpaceDN w:val="0"/>
        <w:adjustRightInd w:val="0"/>
        <w:spacing w:before="120" w:after="120" w:line="240" w:lineRule="auto"/>
        <w:jc w:val="both"/>
        <w:rPr>
          <w:rFonts w:ascii="Arial" w:hAnsi="Arial" w:cs="Arial"/>
          <w:b/>
          <w:bCs/>
        </w:rPr>
      </w:pPr>
      <w:r w:rsidRPr="00AD5A65">
        <w:rPr>
          <w:rFonts w:ascii="Arial" w:hAnsi="Arial" w:cs="Arial"/>
          <w:b/>
          <w:bCs/>
        </w:rPr>
        <w:t xml:space="preserve">AGREED TERMS </w:t>
      </w:r>
    </w:p>
    <w:p w14:paraId="2374EAD2" w14:textId="77777777" w:rsidR="00EE56A7" w:rsidRPr="00460765" w:rsidRDefault="00EE56A7">
      <w:pPr>
        <w:pStyle w:val="MRheading1"/>
        <w:spacing w:line="240" w:lineRule="auto"/>
      </w:pPr>
      <w:r w:rsidRPr="00460765">
        <w:t xml:space="preserve">Purpose of Grant </w:t>
      </w:r>
    </w:p>
    <w:p w14:paraId="57613C26" w14:textId="11C174D5" w:rsidR="00EE56A7" w:rsidRDefault="01A3A62F">
      <w:pPr>
        <w:pStyle w:val="MRheading2"/>
        <w:spacing w:line="240" w:lineRule="auto"/>
      </w:pPr>
      <w:bookmarkStart w:id="2" w:name="_Ref319072879"/>
      <w:r>
        <w:t xml:space="preserve">The </w:t>
      </w:r>
      <w:r w:rsidR="7D62A095">
        <w:t>Lead Partner</w:t>
      </w:r>
      <w:r>
        <w:t xml:space="preserve"> shall use the Grant only for the delivery of the </w:t>
      </w:r>
      <w:r w:rsidR="4C574C7F">
        <w:t>GHWP</w:t>
      </w:r>
      <w:r w:rsidR="5C103657">
        <w:t xml:space="preserve"> </w:t>
      </w:r>
      <w:r>
        <w:t>and in accordance with the terms and conditions set out in this Agreement. The Grant shall not be used for any other purpose without THET’s prior written agreement.</w:t>
      </w:r>
      <w:bookmarkEnd w:id="2"/>
      <w:r>
        <w:t xml:space="preserve"> </w:t>
      </w:r>
    </w:p>
    <w:p w14:paraId="484D710B" w14:textId="31648F41" w:rsidR="00EE56A7" w:rsidRPr="00AB436E" w:rsidRDefault="01A3A62F">
      <w:pPr>
        <w:pStyle w:val="MRheading2"/>
        <w:spacing w:line="240" w:lineRule="auto"/>
      </w:pPr>
      <w:bookmarkStart w:id="3" w:name="_Ref319072883"/>
      <w:r w:rsidRPr="7D6BE9DE">
        <w:rPr>
          <w:rFonts w:cs="Arial"/>
        </w:rPr>
        <w:t xml:space="preserve">The </w:t>
      </w:r>
      <w:r w:rsidR="7D62A095" w:rsidRPr="7D6BE9DE">
        <w:rPr>
          <w:rFonts w:cs="Arial"/>
        </w:rPr>
        <w:t>Lead Partner</w:t>
      </w:r>
      <w:r w:rsidRPr="7D6BE9DE">
        <w:rPr>
          <w:rFonts w:cs="Arial"/>
        </w:rPr>
        <w:t xml:space="preserve"> shall not make </w:t>
      </w:r>
      <w:r w:rsidRPr="00286DBE">
        <w:rPr>
          <w:rFonts w:cs="Arial"/>
        </w:rPr>
        <w:t xml:space="preserve">any change to </w:t>
      </w:r>
      <w:r w:rsidR="3B4BF569" w:rsidRPr="00286DBE">
        <w:rPr>
          <w:rFonts w:cs="Arial"/>
        </w:rPr>
        <w:t xml:space="preserve">the </w:t>
      </w:r>
      <w:r w:rsidR="00912371">
        <w:rPr>
          <w:rFonts w:cs="Arial"/>
        </w:rPr>
        <w:t>Funded Activities</w:t>
      </w:r>
      <w:r w:rsidR="3B4BF569" w:rsidRPr="7D6BE9DE">
        <w:rPr>
          <w:rFonts w:cs="Arial"/>
        </w:rPr>
        <w:t xml:space="preserve"> </w:t>
      </w:r>
      <w:r w:rsidRPr="7D6BE9DE">
        <w:rPr>
          <w:rFonts w:cs="Arial"/>
        </w:rPr>
        <w:t>or any part thereof without THET's prior written agreement.</w:t>
      </w:r>
      <w:bookmarkEnd w:id="3"/>
    </w:p>
    <w:p w14:paraId="5DF69AC5" w14:textId="7C654312" w:rsidR="00EE56A7" w:rsidRPr="00FA248D" w:rsidRDefault="00EE56A7">
      <w:pPr>
        <w:pStyle w:val="MRheading2"/>
        <w:spacing w:line="240" w:lineRule="auto"/>
      </w:pPr>
      <w:r>
        <w:rPr>
          <w:rFonts w:cs="Arial"/>
          <w:szCs w:val="22"/>
        </w:rPr>
        <w:t xml:space="preserve">The </w:t>
      </w:r>
      <w:r w:rsidR="00632356">
        <w:t>Lead Partner</w:t>
      </w:r>
      <w:r w:rsidRPr="00184145">
        <w:t xml:space="preserve"> shall be responsible for ente</w:t>
      </w:r>
      <w:r>
        <w:t xml:space="preserve">ring into, and complying with, </w:t>
      </w:r>
      <w:r w:rsidRPr="00184145">
        <w:t xml:space="preserve">appropriate contractual arrangements with Partners </w:t>
      </w:r>
      <w:r w:rsidR="00B72682">
        <w:t xml:space="preserve">listed in the </w:t>
      </w:r>
      <w:r w:rsidR="00993C0F">
        <w:t xml:space="preserve">GHWP </w:t>
      </w:r>
      <w:r w:rsidR="00B72682">
        <w:t xml:space="preserve">application </w:t>
      </w:r>
      <w:r w:rsidRPr="00184145">
        <w:t>which shall include without limitation provisions to ensure that the Partners comply with all relevant provisions of this Agreement and the Funding Agreement.</w:t>
      </w:r>
      <w:r w:rsidR="00363DFC">
        <w:t xml:space="preserve"> </w:t>
      </w:r>
      <w:r>
        <w:t xml:space="preserve">The </w:t>
      </w:r>
      <w:r w:rsidR="00632356">
        <w:t>Lead Partner</w:t>
      </w:r>
      <w:r>
        <w:t xml:space="preserve"> shall remain liable to THET for</w:t>
      </w:r>
      <w:r w:rsidR="00DD05A5">
        <w:t xml:space="preserve"> the performance of</w:t>
      </w:r>
      <w:r>
        <w:t xml:space="preserve"> all its obligations under this Agreement, and shall be responsible </w:t>
      </w:r>
      <w:r w:rsidR="00EC019C">
        <w:t xml:space="preserve">(i) </w:t>
      </w:r>
      <w:r>
        <w:t xml:space="preserve">for all acts and omissions of any person instructed pursuant to this Agreement to undertake any of the </w:t>
      </w:r>
      <w:r w:rsidR="00632356">
        <w:t>Lead Partner</w:t>
      </w:r>
      <w:r>
        <w:t xml:space="preserve">’s </w:t>
      </w:r>
      <w:r>
        <w:lastRenderedPageBreak/>
        <w:t xml:space="preserve">obligations under this Agreement, including (without limitation) the </w:t>
      </w:r>
      <w:r w:rsidR="00632356">
        <w:t>Lead Partner</w:t>
      </w:r>
      <w:r>
        <w:t xml:space="preserve">’s employees, agents, </w:t>
      </w:r>
      <w:r w:rsidR="00EC019C">
        <w:t xml:space="preserve">contractors, </w:t>
      </w:r>
      <w:r>
        <w:t>sub-contractors and the Partners</w:t>
      </w:r>
      <w:r w:rsidR="00EC019C">
        <w:t>,</w:t>
      </w:r>
      <w:r>
        <w:t xml:space="preserve"> and </w:t>
      </w:r>
      <w:r w:rsidR="00EC019C">
        <w:t xml:space="preserve">(ii) </w:t>
      </w:r>
      <w:r>
        <w:t>for the health, safety and security of such persons and their property notwithstanding any contractual arrangements it may enter with any Partner or third party.</w:t>
      </w:r>
    </w:p>
    <w:p w14:paraId="589C675C" w14:textId="28DBD6EC" w:rsidR="00EE56A7" w:rsidRDefault="01A3A62F">
      <w:pPr>
        <w:pStyle w:val="MRheading2"/>
        <w:spacing w:line="240" w:lineRule="auto"/>
      </w:pPr>
      <w:r>
        <w:t xml:space="preserve">The </w:t>
      </w:r>
      <w:r w:rsidR="7D62A095">
        <w:t>Lead Partner</w:t>
      </w:r>
      <w:r>
        <w:t xml:space="preserve"> may not pass on Grant monies to Partners or third parties except </w:t>
      </w:r>
      <w:r w:rsidR="3C8B7D2B">
        <w:t>insofar</w:t>
      </w:r>
      <w:r>
        <w:t xml:space="preserve"> </w:t>
      </w:r>
      <w:r w:rsidR="00C41256">
        <w:t xml:space="preserve">as it </w:t>
      </w:r>
      <w:r>
        <w:t xml:space="preserve">is </w:t>
      </w:r>
      <w:r w:rsidR="7B25E8CE">
        <w:t>clearly</w:t>
      </w:r>
      <w:r>
        <w:t xml:space="preserve"> detailed in the </w:t>
      </w:r>
      <w:r w:rsidR="4C574C7F">
        <w:t>GHWP</w:t>
      </w:r>
      <w:r>
        <w:t xml:space="preserve"> </w:t>
      </w:r>
      <w:r w:rsidR="3B4BF569">
        <w:t xml:space="preserve">project </w:t>
      </w:r>
      <w:r>
        <w:t>and agreed by THET</w:t>
      </w:r>
      <w:r w:rsidR="35D9A7BD">
        <w:t xml:space="preserve"> in writing in advance</w:t>
      </w:r>
      <w:r>
        <w:t xml:space="preserve">.  </w:t>
      </w:r>
      <w:bookmarkStart w:id="4" w:name="_Ref319073058"/>
      <w:r>
        <w:t xml:space="preserve"> </w:t>
      </w:r>
    </w:p>
    <w:p w14:paraId="03360E91" w14:textId="01217414" w:rsidR="00EE56A7" w:rsidRDefault="01A3A62F" w:rsidP="0095685B">
      <w:pPr>
        <w:pStyle w:val="MRheading2"/>
        <w:spacing w:line="240" w:lineRule="auto"/>
      </w:pPr>
      <w:bookmarkStart w:id="5" w:name="_Ref395168208"/>
      <w:r>
        <w:t xml:space="preserve">The </w:t>
      </w:r>
      <w:r w:rsidR="7D62A095">
        <w:t>Lead Partner</w:t>
      </w:r>
      <w:r>
        <w:t xml:space="preserve"> shall be responsible for the safety, security and supervision of any person instructed pursuant to this Agreement to undertake any of the </w:t>
      </w:r>
      <w:r w:rsidR="7D62A095">
        <w:t>Lead Partner</w:t>
      </w:r>
      <w:r>
        <w:t xml:space="preserve">’s obligations under this Agreement including (without limitation) the </w:t>
      </w:r>
      <w:r w:rsidR="7D62A095">
        <w:t>Lead Partner</w:t>
      </w:r>
      <w:r>
        <w:t>’s employees, agents</w:t>
      </w:r>
      <w:r w:rsidR="35D9A7BD">
        <w:t>, contractors</w:t>
      </w:r>
      <w:r>
        <w:t xml:space="preserve"> and sub-contractors and any volunteers engaged in the </w:t>
      </w:r>
      <w:r w:rsidR="4C574C7F">
        <w:t>GHWP</w:t>
      </w:r>
      <w:r w:rsidR="3B4BF569">
        <w:t xml:space="preserve"> project</w:t>
      </w:r>
      <w:r>
        <w:t xml:space="preserve"> and shall comply and procure that those persons mentioned in this paragraph </w:t>
      </w:r>
      <w:r w:rsidR="00EE56A7">
        <w:fldChar w:fldCharType="begin"/>
      </w:r>
      <w:r w:rsidR="00EE56A7">
        <w:instrText xml:space="preserve"> REF _Ref395168208 \r \h  \* MERGEFORMAT </w:instrText>
      </w:r>
      <w:r w:rsidR="00EE56A7">
        <w:fldChar w:fldCharType="separate"/>
      </w:r>
      <w:r w:rsidR="006B5F2E">
        <w:t>1.5</w:t>
      </w:r>
      <w:r w:rsidR="00EE56A7">
        <w:fldChar w:fldCharType="end"/>
      </w:r>
      <w:r>
        <w:t xml:space="preserve"> shall comply with all safety, security and supervision measures notified to </w:t>
      </w:r>
      <w:r w:rsidR="00197500">
        <w:t xml:space="preserve">the Lead Partner </w:t>
      </w:r>
      <w:r>
        <w:t>by THET from time to time.</w:t>
      </w:r>
      <w:bookmarkEnd w:id="5"/>
      <w:r>
        <w:t xml:space="preserve"> </w:t>
      </w:r>
    </w:p>
    <w:p w14:paraId="4BD9717E" w14:textId="5DAE9286" w:rsidR="00EE56A7" w:rsidRDefault="01A3A62F">
      <w:pPr>
        <w:pStyle w:val="MRheading2"/>
        <w:spacing w:line="240" w:lineRule="auto"/>
      </w:pPr>
      <w:bookmarkStart w:id="6" w:name="_Ref395168220"/>
      <w:r>
        <w:t xml:space="preserve">The </w:t>
      </w:r>
      <w:r w:rsidR="7D62A095">
        <w:t>Lead Partner</w:t>
      </w:r>
      <w:r>
        <w:t xml:space="preserve"> shall obtain and maintain</w:t>
      </w:r>
      <w:r w:rsidR="35D9A7BD">
        <w:t>,</w:t>
      </w:r>
      <w:r>
        <w:t xml:space="preserve"> and </w:t>
      </w:r>
      <w:r w:rsidR="35D9A7BD">
        <w:t xml:space="preserve">shall </w:t>
      </w:r>
      <w:r>
        <w:t xml:space="preserve">procure that all of its employees, agents, </w:t>
      </w:r>
      <w:r w:rsidR="35D9A7BD">
        <w:t xml:space="preserve">contractors, </w:t>
      </w:r>
      <w:r>
        <w:t xml:space="preserve">sub-contractors and any volunteers engaged in the </w:t>
      </w:r>
      <w:r w:rsidR="4C574C7F">
        <w:t>GHWP</w:t>
      </w:r>
      <w:r>
        <w:t xml:space="preserve"> </w:t>
      </w:r>
      <w:r w:rsidR="3B4BF569">
        <w:t xml:space="preserve">project </w:t>
      </w:r>
      <w:r>
        <w:t>obtain and maintain</w:t>
      </w:r>
      <w:r w:rsidR="35D9A7BD">
        <w:t>,</w:t>
      </w:r>
      <w:r>
        <w:t xml:space="preserve"> all approvals</w:t>
      </w:r>
      <w:r w:rsidR="35D9A7BD">
        <w:t>, consents, licences, permissions and authorisations</w:t>
      </w:r>
      <w:r>
        <w:t xml:space="preserve"> which are necessary or desirable </w:t>
      </w:r>
      <w:r w:rsidR="35D9A7BD">
        <w:t xml:space="preserve">to ensure the successful </w:t>
      </w:r>
      <w:r>
        <w:t xml:space="preserve">performance of the </w:t>
      </w:r>
      <w:r w:rsidR="4C574C7F">
        <w:t>GHWP</w:t>
      </w:r>
      <w:r>
        <w:t>.</w:t>
      </w:r>
      <w:bookmarkEnd w:id="6"/>
    </w:p>
    <w:p w14:paraId="6FE3DE0B" w14:textId="7D54C8B0" w:rsidR="00EE56A7" w:rsidRPr="00FA248D" w:rsidRDefault="00EE56A7">
      <w:pPr>
        <w:pStyle w:val="MRheading2"/>
        <w:spacing w:line="240" w:lineRule="auto"/>
      </w:pPr>
      <w:bookmarkStart w:id="7" w:name="_Ref393441768"/>
      <w:r w:rsidRPr="00184145">
        <w:t xml:space="preserve">The </w:t>
      </w:r>
      <w:r w:rsidR="00632356">
        <w:t>Lead Partner</w:t>
      </w:r>
      <w:r w:rsidRPr="00184145">
        <w:t xml:space="preserve"> shall, and shall procure that </w:t>
      </w:r>
      <w:r w:rsidR="00C41256">
        <w:t xml:space="preserve">the </w:t>
      </w:r>
      <w:r w:rsidRPr="00184145">
        <w:t xml:space="preserve">Partners shall, at all times comply with the terms of the </w:t>
      </w:r>
      <w:r w:rsidR="00DD05A5">
        <w:t>International Development Act 2002 (“</w:t>
      </w:r>
      <w:r w:rsidR="00DD05A5" w:rsidRPr="00730E8E">
        <w:rPr>
          <w:b/>
          <w:bCs/>
        </w:rPr>
        <w:t>IDA</w:t>
      </w:r>
      <w:r w:rsidR="00DD05A5">
        <w:t>”)</w:t>
      </w:r>
      <w:r w:rsidRPr="00184145">
        <w:t xml:space="preserve">, including without limitation compliance with the summary of the </w:t>
      </w:r>
      <w:r w:rsidR="00632356">
        <w:t>Lead Partner</w:t>
      </w:r>
      <w:r w:rsidRPr="00184145">
        <w:t xml:space="preserve">’s responsibilities in connection with the </w:t>
      </w:r>
      <w:r w:rsidR="00B56778">
        <w:t xml:space="preserve">IDA </w:t>
      </w:r>
      <w:r w:rsidRPr="00184145">
        <w:t xml:space="preserve">attached to this Agreement at Annex </w:t>
      </w:r>
      <w:bookmarkEnd w:id="4"/>
      <w:r>
        <w:t xml:space="preserve">1, and the </w:t>
      </w:r>
      <w:r w:rsidR="00632356">
        <w:t>Lead Partner</w:t>
      </w:r>
      <w:r>
        <w:t xml:space="preserve"> hereby undertakes that it shall not, and shall procure that the Partners shall not</w:t>
      </w:r>
      <w:r w:rsidR="00DD05A5">
        <w:t>,</w:t>
      </w:r>
      <w:r>
        <w:t xml:space="preserve"> provide </w:t>
      </w:r>
      <w:r w:rsidR="001254F2">
        <w:t xml:space="preserve">any </w:t>
      </w:r>
      <w:r>
        <w:t xml:space="preserve">assistance to overseas bodies </w:t>
      </w:r>
      <w:r w:rsidR="001254F2">
        <w:t xml:space="preserve">where the manner or form of such assistance may or does breach the requirements of </w:t>
      </w:r>
      <w:r w:rsidR="00EF59BF">
        <w:t xml:space="preserve">the </w:t>
      </w:r>
      <w:r>
        <w:t>IDA.</w:t>
      </w:r>
      <w:bookmarkEnd w:id="7"/>
    </w:p>
    <w:p w14:paraId="13CA32BA" w14:textId="26928007" w:rsidR="00EE56A7" w:rsidRPr="00AC3279" w:rsidRDefault="00EE56A7" w:rsidP="0095685B">
      <w:pPr>
        <w:pStyle w:val="MRheading2"/>
        <w:spacing w:line="240" w:lineRule="auto"/>
      </w:pPr>
      <w:bookmarkStart w:id="8" w:name="_Ref319395111"/>
      <w:r>
        <w:rPr>
          <w:rFonts w:cs="Arial"/>
          <w:szCs w:val="22"/>
        </w:rPr>
        <w:t xml:space="preserve">The </w:t>
      </w:r>
      <w:r w:rsidR="00632356">
        <w:rPr>
          <w:rFonts w:cs="Arial"/>
          <w:szCs w:val="22"/>
        </w:rPr>
        <w:t>Lead Partner</w:t>
      </w:r>
      <w:r>
        <w:rPr>
          <w:rFonts w:cs="Arial"/>
          <w:szCs w:val="22"/>
        </w:rPr>
        <w:t xml:space="preserve"> shall</w:t>
      </w:r>
      <w:r w:rsidR="001F41A4">
        <w:rPr>
          <w:rFonts w:cs="Arial"/>
          <w:szCs w:val="22"/>
        </w:rPr>
        <w:t xml:space="preserve"> (and shall procure that any Partners</w:t>
      </w:r>
      <w:r w:rsidR="00EB709E">
        <w:rPr>
          <w:rFonts w:cs="Arial"/>
          <w:szCs w:val="22"/>
        </w:rPr>
        <w:t xml:space="preserve"> will</w:t>
      </w:r>
      <w:r w:rsidR="001F41A4">
        <w:rPr>
          <w:rFonts w:cs="Arial"/>
          <w:szCs w:val="22"/>
        </w:rPr>
        <w:t>)</w:t>
      </w:r>
      <w:r>
        <w:rPr>
          <w:rFonts w:cs="Arial"/>
          <w:szCs w:val="22"/>
        </w:rPr>
        <w:t xml:space="preserve"> comply with the terms of the Funding Agreement </w:t>
      </w:r>
      <w:r w:rsidR="001254F2">
        <w:rPr>
          <w:rFonts w:cs="Arial"/>
          <w:szCs w:val="22"/>
        </w:rPr>
        <w:t>insofar</w:t>
      </w:r>
      <w:r w:rsidRPr="00184145">
        <w:t xml:space="preserve"> the</w:t>
      </w:r>
      <w:r w:rsidR="00197500">
        <w:t xml:space="preserve"> terms</w:t>
      </w:r>
      <w:r w:rsidRPr="00184145">
        <w:t xml:space="preserve"> are applicable or relevant to the </w:t>
      </w:r>
      <w:r w:rsidR="00632356">
        <w:t>Lead Partner</w:t>
      </w:r>
      <w:r w:rsidR="002846DE">
        <w:t xml:space="preserve"> or Partner</w:t>
      </w:r>
      <w:r>
        <w:t>,</w:t>
      </w:r>
      <w:r w:rsidR="002846DE">
        <w:t xml:space="preserve"> as the case may be</w:t>
      </w:r>
      <w:r w:rsidR="00614E34">
        <w:t>,</w:t>
      </w:r>
      <w:r w:rsidRPr="00184145">
        <w:t xml:space="preserve"> including </w:t>
      </w:r>
      <w:r w:rsidR="001254F2">
        <w:t>(</w:t>
      </w:r>
      <w:r w:rsidRPr="00184145">
        <w:t>without limitation</w:t>
      </w:r>
      <w:r w:rsidR="001254F2">
        <w:t>)</w:t>
      </w:r>
      <w:r w:rsidRPr="00184145">
        <w:t xml:space="preserve"> </w:t>
      </w:r>
      <w:r w:rsidR="00B56778">
        <w:t>a</w:t>
      </w:r>
      <w:r w:rsidR="00E27649">
        <w:t>l</w:t>
      </w:r>
      <w:r w:rsidR="00B56778">
        <w:t>l provisions applicable to Downstream Partners (as defined in the Funding Agreement)</w:t>
      </w:r>
      <w:r w:rsidRPr="00184145">
        <w:t xml:space="preserve">, and any other provisions thereof which may be notified to the </w:t>
      </w:r>
      <w:r w:rsidR="00632356">
        <w:t>Lead Partner</w:t>
      </w:r>
      <w:r w:rsidRPr="00184145">
        <w:t xml:space="preserve"> by THET from time to time. In any event </w:t>
      </w:r>
      <w:r>
        <w:t xml:space="preserve">the </w:t>
      </w:r>
      <w:r w:rsidR="00632356">
        <w:t>Lead Partner</w:t>
      </w:r>
      <w:r>
        <w:t xml:space="preserve"> </w:t>
      </w:r>
      <w:r w:rsidRPr="00184145">
        <w:t xml:space="preserve">shall </w:t>
      </w:r>
      <w:r w:rsidR="00B3363F">
        <w:t xml:space="preserve">promptly </w:t>
      </w:r>
      <w:r w:rsidRPr="00184145">
        <w:t xml:space="preserve">do all things as may be required by THET </w:t>
      </w:r>
      <w:r w:rsidR="001254F2">
        <w:t xml:space="preserve">from time to time </w:t>
      </w:r>
      <w:r w:rsidRPr="00184145">
        <w:t xml:space="preserve">to </w:t>
      </w:r>
      <w:r>
        <w:t xml:space="preserve">facilitate </w:t>
      </w:r>
      <w:r w:rsidRPr="00184145">
        <w:t>THET’s compliance with its obligat</w:t>
      </w:r>
      <w:r>
        <w:t>ions under the Funding Agreement.</w:t>
      </w:r>
      <w:r w:rsidR="001D30BD">
        <w:t xml:space="preserve"> </w:t>
      </w:r>
      <w:r w:rsidR="00760A6B">
        <w:t xml:space="preserve">A redacted version </w:t>
      </w:r>
      <w:r w:rsidR="002D5FC9">
        <w:t xml:space="preserve">of </w:t>
      </w:r>
      <w:r w:rsidR="00760A6B">
        <w:t xml:space="preserve">the Funding Agreement is </w:t>
      </w:r>
      <w:r w:rsidR="003170D7">
        <w:t>appended</w:t>
      </w:r>
      <w:r w:rsidR="00760A6B">
        <w:t xml:space="preserve"> at Annex </w:t>
      </w:r>
      <w:r w:rsidR="00F25E4F">
        <w:t>4</w:t>
      </w:r>
      <w:r w:rsidR="00760A6B">
        <w:t xml:space="preserve"> hereto</w:t>
      </w:r>
      <w:r>
        <w:t xml:space="preserve"> to assist the </w:t>
      </w:r>
      <w:r w:rsidR="00632356">
        <w:t>Lead Partner</w:t>
      </w:r>
      <w:r>
        <w:t xml:space="preserve"> with compliance within this paragraph </w:t>
      </w:r>
      <w:r>
        <w:fldChar w:fldCharType="begin"/>
      </w:r>
      <w:r>
        <w:instrText xml:space="preserve"> REF _Ref319395111 \r \h </w:instrText>
      </w:r>
      <w:r w:rsidR="00EC5CC0">
        <w:instrText xml:space="preserve"> \* MERGEFORMAT </w:instrText>
      </w:r>
      <w:r>
        <w:fldChar w:fldCharType="separate"/>
      </w:r>
      <w:r w:rsidR="006B5F2E">
        <w:t>1.8</w:t>
      </w:r>
      <w:r>
        <w:fldChar w:fldCharType="end"/>
      </w:r>
      <w:r>
        <w:t>.</w:t>
      </w:r>
      <w:bookmarkEnd w:id="8"/>
    </w:p>
    <w:p w14:paraId="4F08BE3F" w14:textId="4C328F31" w:rsidR="00EE56A7" w:rsidRPr="00AE0604" w:rsidRDefault="00EE56A7">
      <w:pPr>
        <w:pStyle w:val="MRheading2"/>
        <w:spacing w:line="240" w:lineRule="auto"/>
      </w:pPr>
      <w:r w:rsidRPr="00184145">
        <w:t xml:space="preserve">The </w:t>
      </w:r>
      <w:r w:rsidR="00632356">
        <w:t>Lead Partner</w:t>
      </w:r>
      <w:r w:rsidRPr="00184145">
        <w:t xml:space="preserve"> shall </w:t>
      </w:r>
      <w:r w:rsidR="001254F2">
        <w:t xml:space="preserve">promptly </w:t>
      </w:r>
      <w:r w:rsidRPr="00184145">
        <w:t>inform THET of any circumstance</w:t>
      </w:r>
      <w:r>
        <w:rPr>
          <w:rFonts w:cs="Arial"/>
          <w:szCs w:val="22"/>
        </w:rPr>
        <w:t>(s) which will or may cause, or have caused:</w:t>
      </w:r>
    </w:p>
    <w:p w14:paraId="1D7744F7" w14:textId="25C3C5FD" w:rsidR="00EE56A7" w:rsidRDefault="01A3A62F">
      <w:pPr>
        <w:pStyle w:val="MRheading3"/>
        <w:spacing w:line="240" w:lineRule="auto"/>
      </w:pPr>
      <w:r>
        <w:t xml:space="preserve">any aspect of the </w:t>
      </w:r>
      <w:r w:rsidR="4C574C7F">
        <w:t>GHWP</w:t>
      </w:r>
      <w:r>
        <w:t xml:space="preserve"> </w:t>
      </w:r>
      <w:r w:rsidR="4A6E5B1D">
        <w:t xml:space="preserve">project </w:t>
      </w:r>
      <w:r>
        <w:t>to be modified;</w:t>
      </w:r>
    </w:p>
    <w:p w14:paraId="039D758D" w14:textId="5F32E4FC" w:rsidR="00EE56A7" w:rsidRDefault="01A3A62F">
      <w:pPr>
        <w:pStyle w:val="MRheading3"/>
        <w:spacing w:line="240" w:lineRule="auto"/>
      </w:pPr>
      <w:r>
        <w:t xml:space="preserve">the </w:t>
      </w:r>
      <w:r w:rsidR="7D62A095">
        <w:t>Lead Partner</w:t>
      </w:r>
      <w:r>
        <w:t xml:space="preserve"> or any Partner to be unable to implement any part of the </w:t>
      </w:r>
      <w:r w:rsidR="4C574C7F">
        <w:t>GHWP</w:t>
      </w:r>
      <w:r w:rsidR="4A6E5B1D">
        <w:t xml:space="preserve"> project</w:t>
      </w:r>
      <w:r>
        <w:t>; or</w:t>
      </w:r>
    </w:p>
    <w:p w14:paraId="4AB35014" w14:textId="77777777" w:rsidR="00EE56A7" w:rsidRPr="00005822" w:rsidRDefault="00EE56A7">
      <w:pPr>
        <w:pStyle w:val="MRheading3"/>
        <w:spacing w:line="240" w:lineRule="auto"/>
      </w:pPr>
      <w:r>
        <w:lastRenderedPageBreak/>
        <w:t>any significant difficulty in respect of communication with or between the Partners.</w:t>
      </w:r>
    </w:p>
    <w:p w14:paraId="5C13EF66" w14:textId="7DED08CA" w:rsidR="00EE56A7" w:rsidRDefault="01A3A62F">
      <w:pPr>
        <w:pStyle w:val="MRheading2"/>
        <w:spacing w:line="240" w:lineRule="auto"/>
      </w:pPr>
      <w:r>
        <w:t>THET may</w:t>
      </w:r>
      <w:r w:rsidR="3C8B7D2B">
        <w:t>, acting</w:t>
      </w:r>
      <w:r>
        <w:t xml:space="preserve"> reasonably</w:t>
      </w:r>
      <w:r w:rsidR="3C8B7D2B">
        <w:t>,</w:t>
      </w:r>
      <w:r>
        <w:t xml:space="preserve"> require change(s) to any aspect of the </w:t>
      </w:r>
      <w:r w:rsidR="7D62A095">
        <w:t>Lead Partner</w:t>
      </w:r>
      <w:r>
        <w:t xml:space="preserve">’s performance of the </w:t>
      </w:r>
      <w:r w:rsidR="4C574C7F">
        <w:t>GHWP</w:t>
      </w:r>
      <w:r>
        <w:t xml:space="preserve"> </w:t>
      </w:r>
      <w:r w:rsidR="4A6E5B1D">
        <w:t>project</w:t>
      </w:r>
      <w:r w:rsidR="3C8B7D2B">
        <w:t>. Such change(s) may include (</w:t>
      </w:r>
      <w:r>
        <w:t>without limitation</w:t>
      </w:r>
      <w:r w:rsidR="3C8B7D2B">
        <w:t>)</w:t>
      </w:r>
      <w:r>
        <w:t xml:space="preserve"> the replacement </w:t>
      </w:r>
      <w:r w:rsidR="3C8B7D2B">
        <w:t xml:space="preserve">with another person acceptable to THET </w:t>
      </w:r>
      <w:r>
        <w:t>of any person</w:t>
      </w:r>
      <w:r w:rsidR="3C8B7D2B">
        <w:t>(s)</w:t>
      </w:r>
      <w:r>
        <w:t xml:space="preserve"> instructed pursuant to </w:t>
      </w:r>
      <w:r w:rsidR="3C8B7D2B">
        <w:t xml:space="preserve">or in connection with </w:t>
      </w:r>
      <w:r>
        <w:t xml:space="preserve">this Agreement to undertake any of the </w:t>
      </w:r>
      <w:r w:rsidR="7D62A095">
        <w:t>Lead Partner</w:t>
      </w:r>
      <w:r>
        <w:t xml:space="preserve">’s obligations under this Agreement </w:t>
      </w:r>
      <w:r w:rsidR="3C8B7D2B">
        <w:t>(</w:t>
      </w:r>
      <w:r>
        <w:t>including</w:t>
      </w:r>
      <w:r w:rsidR="3C8B7D2B">
        <w:t xml:space="preserve">, </w:t>
      </w:r>
      <w:r>
        <w:t>without limitation</w:t>
      </w:r>
      <w:r w:rsidR="3C8B7D2B">
        <w:t>,</w:t>
      </w:r>
      <w:r>
        <w:t xml:space="preserve"> the </w:t>
      </w:r>
      <w:r w:rsidR="7D62A095">
        <w:t>Lead Partner</w:t>
      </w:r>
      <w:r>
        <w:t xml:space="preserve">’s employees, </w:t>
      </w:r>
      <w:r w:rsidR="3C8B7D2B">
        <w:t xml:space="preserve">contractors, </w:t>
      </w:r>
      <w:r>
        <w:t>agents and sub-contractors</w:t>
      </w:r>
      <w:r w:rsidR="3C8B7D2B">
        <w:t>)</w:t>
      </w:r>
      <w:r>
        <w:t xml:space="preserve"> where THET considers such person</w:t>
      </w:r>
      <w:r w:rsidR="3C8B7D2B">
        <w:t>(s)</w:t>
      </w:r>
      <w:r>
        <w:t xml:space="preserve"> </w:t>
      </w:r>
      <w:r w:rsidR="3C8B7D2B">
        <w:t xml:space="preserve">as </w:t>
      </w:r>
      <w:r>
        <w:t xml:space="preserve">unsuitable, and the </w:t>
      </w:r>
      <w:r w:rsidR="7D62A095">
        <w:t>Lead Partner</w:t>
      </w:r>
      <w:r>
        <w:t xml:space="preserve"> shall implement such change(s) as quickly as reasonably possible without direct or indirect charge to THET. </w:t>
      </w:r>
    </w:p>
    <w:p w14:paraId="03D3F79F" w14:textId="689B2235" w:rsidR="00EE56A7" w:rsidRPr="00C80BA4" w:rsidRDefault="01A3A62F">
      <w:pPr>
        <w:pStyle w:val="MRheading2"/>
        <w:spacing w:line="240" w:lineRule="auto"/>
      </w:pPr>
      <w:bookmarkStart w:id="9" w:name="_Ref146201105"/>
      <w:r w:rsidRPr="00C80BA4">
        <w:t xml:space="preserve">Where the </w:t>
      </w:r>
      <w:r w:rsidR="7D62A095" w:rsidRPr="00C80BA4">
        <w:t>Lead Partner</w:t>
      </w:r>
      <w:r w:rsidRPr="00C80BA4">
        <w:t xml:space="preserve"> intends to apply to a third party for other funding for the</w:t>
      </w:r>
      <w:r w:rsidR="04139B12" w:rsidRPr="00C80BA4">
        <w:t xml:space="preserve"> </w:t>
      </w:r>
      <w:r w:rsidR="4C574C7F" w:rsidRPr="00C80BA4">
        <w:t>GHWP</w:t>
      </w:r>
      <w:r w:rsidR="4A6E5B1D" w:rsidRPr="00C80BA4">
        <w:t xml:space="preserve"> project</w:t>
      </w:r>
      <w:r w:rsidRPr="00C80BA4">
        <w:t xml:space="preserve">, it will notify THET in advance of its intention to do so and provide THET with details of the amount and purpose of such funding. </w:t>
      </w:r>
      <w:r w:rsidR="00912371">
        <w:t xml:space="preserve">The Lead Partner shall receive THET's prior written consent before applying to a third party for other funding for the GHWP project. </w:t>
      </w:r>
      <w:r w:rsidRPr="00C80BA4">
        <w:t xml:space="preserve">The </w:t>
      </w:r>
      <w:r w:rsidR="7D62A095" w:rsidRPr="00C80BA4">
        <w:t>Lead Partner</w:t>
      </w:r>
      <w:r w:rsidRPr="00C80BA4">
        <w:t xml:space="preserve"> agrees and accepts that it shall not apply for duplicate funding in respect of any part of the </w:t>
      </w:r>
      <w:r w:rsidR="4C574C7F" w:rsidRPr="00C80BA4">
        <w:t>GHWP</w:t>
      </w:r>
      <w:r w:rsidR="00912371">
        <w:t xml:space="preserve"> </w:t>
      </w:r>
      <w:r w:rsidRPr="00C80BA4">
        <w:t>or any related administration costs that THET is funding in full under this Agreement without the prior written consent of THET.</w:t>
      </w:r>
      <w:bookmarkEnd w:id="9"/>
    </w:p>
    <w:p w14:paraId="12DE0EE0" w14:textId="3D1B9B24" w:rsidR="00785AE5" w:rsidRPr="00C80BA4" w:rsidRDefault="00785AE5">
      <w:pPr>
        <w:pStyle w:val="MRheading2"/>
        <w:spacing w:line="240" w:lineRule="auto"/>
      </w:pPr>
      <w:r w:rsidRPr="00C80BA4">
        <w:t xml:space="preserve">The </w:t>
      </w:r>
      <w:r w:rsidR="00632356" w:rsidRPr="00C80BA4">
        <w:t>Lead Partner</w:t>
      </w:r>
      <w:r w:rsidRPr="00C80BA4">
        <w:t xml:space="preserve"> will </w:t>
      </w:r>
      <w:r w:rsidR="00B72682" w:rsidRPr="00C80BA4">
        <w:t>inform</w:t>
      </w:r>
      <w:r w:rsidRPr="00C80BA4">
        <w:t xml:space="preserve"> THET prior </w:t>
      </w:r>
      <w:r w:rsidR="00B72682" w:rsidRPr="00C80BA4">
        <w:t>to</w:t>
      </w:r>
      <w:r w:rsidRPr="00C80BA4">
        <w:t xml:space="preserve"> creating or replacing staff in posts where they are responsible for delivery of its obligations hereunder. The </w:t>
      </w:r>
      <w:r w:rsidR="00632356" w:rsidRPr="00C80BA4">
        <w:t>Lead Partner</w:t>
      </w:r>
      <w:r w:rsidRPr="00C80BA4">
        <w:t xml:space="preserve"> will appoint replacement staff with appropriate qualifications and experience.</w:t>
      </w:r>
    </w:p>
    <w:p w14:paraId="0E4FB183" w14:textId="55E14137" w:rsidR="00785AE5" w:rsidRPr="00C80BA4" w:rsidRDefault="00785AE5">
      <w:pPr>
        <w:pStyle w:val="MRheading2"/>
        <w:spacing w:line="240" w:lineRule="auto"/>
      </w:pPr>
      <w:r w:rsidRPr="00C80BA4">
        <w:t xml:space="preserve">The </w:t>
      </w:r>
      <w:r w:rsidR="00632356" w:rsidRPr="00C80BA4">
        <w:t>Lead Partner</w:t>
      </w:r>
      <w:r w:rsidRPr="00C80BA4">
        <w:t xml:space="preserve"> will ensure safeguarding policies and procedures, including appropriate vetting of its employees, are carried out in accordance with good industry practice and following any reasonable instructions from THET.</w:t>
      </w:r>
    </w:p>
    <w:p w14:paraId="74B1D3EE" w14:textId="1805AC84" w:rsidR="00816A15" w:rsidRDefault="649BB9D2" w:rsidP="00730E8E">
      <w:pPr>
        <w:pStyle w:val="MRheading2"/>
        <w:spacing w:line="240" w:lineRule="auto"/>
      </w:pPr>
      <w:r w:rsidRPr="00C80BA4">
        <w:t xml:space="preserve">The </w:t>
      </w:r>
      <w:r w:rsidR="7D62A095" w:rsidRPr="00C80BA4">
        <w:t>Lead Partner</w:t>
      </w:r>
      <w:r w:rsidRPr="00C80BA4">
        <w:t xml:space="preserve"> will take all reasonable steps to prevent the sexual</w:t>
      </w:r>
      <w:r>
        <w:t xml:space="preserve"> exploitation, abuse and</w:t>
      </w:r>
      <w:r w:rsidR="360D01CD">
        <w:t xml:space="preserve"> </w:t>
      </w:r>
      <w:r>
        <w:t xml:space="preserve">harassment of any person linked to the delivery of </w:t>
      </w:r>
      <w:r w:rsidR="2035607E">
        <w:t>the</w:t>
      </w:r>
      <w:r>
        <w:t xml:space="preserve"> </w:t>
      </w:r>
      <w:r w:rsidR="4C574C7F">
        <w:t>GHWP</w:t>
      </w:r>
      <w:r w:rsidR="2035607E">
        <w:t xml:space="preserve"> project</w:t>
      </w:r>
      <w:r>
        <w:t xml:space="preserve"> by its employees</w:t>
      </w:r>
      <w:r w:rsidR="2035607E">
        <w:t>, volunteers</w:t>
      </w:r>
      <w:r>
        <w:t xml:space="preserve"> and any </w:t>
      </w:r>
      <w:r w:rsidR="2035607E">
        <w:t>other partner</w:t>
      </w:r>
      <w:r w:rsidR="15718856">
        <w:t>.</w:t>
      </w:r>
      <w:r w:rsidR="00924809">
        <w:t xml:space="preserve"> </w:t>
      </w:r>
    </w:p>
    <w:p w14:paraId="709123C1" w14:textId="075D2449" w:rsidR="00924809" w:rsidRDefault="649BB9D2" w:rsidP="00924809">
      <w:pPr>
        <w:pStyle w:val="MRheading2"/>
        <w:spacing w:line="240" w:lineRule="auto"/>
      </w:pPr>
      <w:r>
        <w:t xml:space="preserve">The </w:t>
      </w:r>
      <w:r w:rsidR="7D62A095">
        <w:t>Lead Partner</w:t>
      </w:r>
      <w:r w:rsidR="16CBFB39">
        <w:t xml:space="preserve"> and all other partners involved in the delivery of the </w:t>
      </w:r>
      <w:r w:rsidR="4C574C7F">
        <w:t>GHWP</w:t>
      </w:r>
      <w:r w:rsidR="16CBFB39">
        <w:t xml:space="preserve"> project</w:t>
      </w:r>
      <w:r>
        <w:t xml:space="preserve"> have a </w:t>
      </w:r>
      <w:r w:rsidR="3FE3A841">
        <w:t>zero-tolerance</w:t>
      </w:r>
      <w:r>
        <w:t xml:space="preserve"> approach towards sexual exploitation, abuse and harassment. The</w:t>
      </w:r>
      <w:r w:rsidR="013CFA22">
        <w:t xml:space="preserve"> </w:t>
      </w:r>
      <w:r w:rsidR="7D62A095">
        <w:t>Lead Partner</w:t>
      </w:r>
      <w:r>
        <w:t xml:space="preserve"> will immediately contact DHSC </w:t>
      </w:r>
      <w:r w:rsidR="366C86ED">
        <w:t xml:space="preserve">and THET </w:t>
      </w:r>
      <w:r>
        <w:t xml:space="preserve">to report any credible suspicions of, or actual incidents of sexual exploitation, abuse or harassment related to this </w:t>
      </w:r>
      <w:r w:rsidR="1B869936">
        <w:t>Agreement</w:t>
      </w:r>
      <w:r>
        <w:t xml:space="preserve">. The </w:t>
      </w:r>
      <w:r w:rsidR="698968A1">
        <w:t xml:space="preserve">Lead </w:t>
      </w:r>
      <w:r>
        <w:t>Partner should assess credibility based on the source of the allegation, the content, and the level of detail or evidence provided. All sexual activity with children (persons under the age of 18) is prohibited, regardless of the age of majority, or age of consent locally.</w:t>
      </w:r>
      <w:r w:rsidR="00924809">
        <w:t xml:space="preserve"> The Lead Partner will apply the IASC Six Core Principles Relating to Sexual Exploitation and Abuse and the following principles and practices when implementing the activities under this arrangement and provide evidence to demonstrate this where required: </w:t>
      </w:r>
    </w:p>
    <w:p w14:paraId="0B158D84" w14:textId="213ACDE9" w:rsidR="00924809" w:rsidRDefault="00924809" w:rsidP="00924809">
      <w:pPr>
        <w:pStyle w:val="MRheading3"/>
        <w:spacing w:line="240" w:lineRule="auto"/>
      </w:pPr>
      <w:r>
        <w:t xml:space="preserve">adherence to the IASC-Minimum Operation Standards on “Protection from sexual exploitation and abuse by own personnel” and/or the sexual exploitation and abuse elements of the Core Humanitarian Standard on Quality and Accountability; </w:t>
      </w:r>
    </w:p>
    <w:p w14:paraId="54E2B1BB" w14:textId="1FE6D960" w:rsidR="00924809" w:rsidRDefault="00924809" w:rsidP="00924809">
      <w:pPr>
        <w:pStyle w:val="MRheading3"/>
        <w:spacing w:line="240" w:lineRule="auto"/>
      </w:pPr>
      <w:r>
        <w:lastRenderedPageBreak/>
        <w:t>a victim/survivor-centred approach</w:t>
      </w:r>
      <w:r>
        <w:rPr>
          <w:rStyle w:val="FootnoteReference"/>
        </w:rPr>
        <w:footnoteReference w:id="2"/>
      </w:r>
      <w:r>
        <w:t xml:space="preserve"> to </w:t>
      </w:r>
      <w:r w:rsidRPr="00924809">
        <w:t xml:space="preserve">sexual exploitation, abuse and harrassment </w:t>
      </w:r>
      <w:r>
        <w:t xml:space="preserve">issues; </w:t>
      </w:r>
    </w:p>
    <w:p w14:paraId="17C9364B" w14:textId="05599BBE" w:rsidR="00924809" w:rsidRDefault="00924809" w:rsidP="00924809">
      <w:pPr>
        <w:pStyle w:val="MRheading3"/>
        <w:spacing w:line="240" w:lineRule="auto"/>
      </w:pPr>
      <w:r>
        <w:t xml:space="preserve">strong leadership and signaling on tackling </w:t>
      </w:r>
      <w:r w:rsidRPr="00924809">
        <w:t>sexual exploitation, abuse and harrassment</w:t>
      </w:r>
      <w:r>
        <w:t xml:space="preserve">; </w:t>
      </w:r>
    </w:p>
    <w:p w14:paraId="1D34892E" w14:textId="72396BD0" w:rsidR="00924809" w:rsidRDefault="00924809" w:rsidP="00924809">
      <w:pPr>
        <w:pStyle w:val="MRheading3"/>
        <w:spacing w:line="240" w:lineRule="auto"/>
      </w:pPr>
      <w:r>
        <w:t xml:space="preserve">make all reasonable efforts to address gender inequality and other power imbalances; </w:t>
      </w:r>
    </w:p>
    <w:p w14:paraId="037F6A74" w14:textId="6D47BA01" w:rsidR="00924809" w:rsidRDefault="00924809" w:rsidP="00924809">
      <w:pPr>
        <w:pStyle w:val="MRheading3"/>
        <w:spacing w:line="240" w:lineRule="auto"/>
      </w:pPr>
      <w:r>
        <w:t xml:space="preserve">reporting to enhance accountability and  transparency; </w:t>
      </w:r>
    </w:p>
    <w:p w14:paraId="4A239538" w14:textId="188BE9A1" w:rsidR="00924809" w:rsidRDefault="00924809" w:rsidP="00924809">
      <w:pPr>
        <w:pStyle w:val="MRheading3"/>
        <w:spacing w:line="240" w:lineRule="auto"/>
      </w:pPr>
      <w:r>
        <w:t xml:space="preserve">ensure that </w:t>
      </w:r>
      <w:r w:rsidRPr="00924809">
        <w:t xml:space="preserve">sexual exploitation, abuse and harrassment </w:t>
      </w:r>
      <w:r>
        <w:t xml:space="preserve">standards from this arrangement are reflected in any agreements with Partners (and where the Lead Partner or Partner is an UN entity, by means such as, but not limited to, adherence to the United Nations Protocol on Allegations of Sexual Exploitation and Abuse Involving Implementing Partners). </w:t>
      </w:r>
    </w:p>
    <w:p w14:paraId="7A0333DD" w14:textId="20F0358B" w:rsidR="00816A15" w:rsidRPr="00816A15" w:rsidRDefault="00816A15" w:rsidP="00730E8E">
      <w:pPr>
        <w:pStyle w:val="MRheading2"/>
        <w:spacing w:line="240" w:lineRule="auto"/>
      </w:pPr>
      <w:r w:rsidRPr="00816A15">
        <w:t xml:space="preserve">The </w:t>
      </w:r>
      <w:r w:rsidR="00632356">
        <w:t>Lead Partner</w:t>
      </w:r>
      <w:r w:rsidRPr="00816A15">
        <w:t xml:space="preserve"> should also report any credible suspicions of, or actual incidents that are not directly related to this </w:t>
      </w:r>
      <w:r w:rsidR="00280641">
        <w:t>Agreement</w:t>
      </w:r>
      <w:r w:rsidR="00280641" w:rsidRPr="00816A15">
        <w:t xml:space="preserve"> </w:t>
      </w:r>
      <w:r w:rsidRPr="00816A15">
        <w:t xml:space="preserve">but would be of significant impact to their partnership with </w:t>
      </w:r>
      <w:r w:rsidR="00B07F7B">
        <w:t xml:space="preserve">THET, </w:t>
      </w:r>
      <w:r w:rsidRPr="00816A15">
        <w:t>DHSC o</w:t>
      </w:r>
      <w:r w:rsidR="00832FF9">
        <w:t xml:space="preserve">r the reputation of </w:t>
      </w:r>
      <w:r w:rsidR="00B07F7B">
        <w:t xml:space="preserve">THET, </w:t>
      </w:r>
      <w:r w:rsidR="00832FF9">
        <w:t xml:space="preserve">DHSC or UK </w:t>
      </w:r>
      <w:r w:rsidR="00581256">
        <w:t>a</w:t>
      </w:r>
      <w:r w:rsidRPr="00816A15">
        <w:t xml:space="preserve">id. For example, events that affect the governance or culture of the </w:t>
      </w:r>
      <w:r w:rsidR="00425DF4">
        <w:t>Lead</w:t>
      </w:r>
      <w:r w:rsidR="0046131C">
        <w:t xml:space="preserve"> </w:t>
      </w:r>
      <w:r w:rsidRPr="00816A15">
        <w:t>Partner</w:t>
      </w:r>
      <w:r w:rsidR="0046131C">
        <w:t xml:space="preserve"> or any Partner</w:t>
      </w:r>
      <w:r w:rsidRPr="00816A15">
        <w:t>, such as those related to senior management, must be reported.</w:t>
      </w:r>
    </w:p>
    <w:p w14:paraId="09AE05B3" w14:textId="67A75426" w:rsidR="00816A15" w:rsidRPr="00B72682" w:rsidRDefault="00832FF9" w:rsidP="00730E8E">
      <w:pPr>
        <w:pStyle w:val="MRheading2"/>
        <w:spacing w:line="240" w:lineRule="auto"/>
      </w:pPr>
      <w:r>
        <w:t>All partners</w:t>
      </w:r>
      <w:r w:rsidR="00816A15">
        <w:t xml:space="preserve"> will fully co-operate with investigations into such events, whether led by DHSC or any of its duly authorised representatives or agents, </w:t>
      </w:r>
      <w:r w:rsidR="00B310E3">
        <w:t xml:space="preserve">THET, the Lead Partner </w:t>
      </w:r>
      <w:r w:rsidR="00816A15">
        <w:t xml:space="preserve">or </w:t>
      </w:r>
      <w:r w:rsidR="00B310E3">
        <w:t xml:space="preserve">a </w:t>
      </w:r>
      <w:r w:rsidR="00816A15">
        <w:t>Partner.</w:t>
      </w:r>
    </w:p>
    <w:p w14:paraId="0976126E" w14:textId="20C27DE6" w:rsidR="00DA5ABE" w:rsidRDefault="00DA5ABE">
      <w:pPr>
        <w:pStyle w:val="MRheading2"/>
        <w:spacing w:line="240" w:lineRule="auto"/>
      </w:pPr>
      <w:r w:rsidRPr="001C2BE1">
        <w:t xml:space="preserve">The Grant must not be used to support activity which influences or attempts to influence </w:t>
      </w:r>
      <w:r w:rsidR="008E7777">
        <w:t xml:space="preserve">the British </w:t>
      </w:r>
      <w:r w:rsidRPr="001C2BE1">
        <w:t xml:space="preserve">Parliament, </w:t>
      </w:r>
      <w:r>
        <w:t>g</w:t>
      </w:r>
      <w:r w:rsidRPr="00211551">
        <w:t>overnment or political parties, to propagate a religion or belief, or to influence the awarding or renewal of contracts or grants, or to influence legislative or regulatory action.</w:t>
      </w:r>
    </w:p>
    <w:p w14:paraId="11ADC714" w14:textId="7AB8DDBC" w:rsidR="00DA5ABE" w:rsidRPr="007179F4" w:rsidRDefault="00DA5ABE">
      <w:pPr>
        <w:pStyle w:val="MRheading2"/>
        <w:spacing w:line="240" w:lineRule="auto"/>
        <w:rPr>
          <w:rFonts w:ascii="Calibri" w:hAnsi="Calibri"/>
          <w:szCs w:val="22"/>
        </w:rPr>
      </w:pPr>
      <w:r>
        <w:t>THET</w:t>
      </w:r>
      <w:r w:rsidRPr="00211551">
        <w:t xml:space="preserve"> makes no commitment to renewing or continuing funding after the term of this Agreement and will not be liable for any additional cost incurred by the </w:t>
      </w:r>
      <w:r w:rsidR="00632356">
        <w:t>Lead Partner</w:t>
      </w:r>
      <w:r>
        <w:t xml:space="preserve"> </w:t>
      </w:r>
      <w:r w:rsidRPr="00211551">
        <w:t xml:space="preserve">either during or after the </w:t>
      </w:r>
      <w:r>
        <w:t>term of this Agreement</w:t>
      </w:r>
      <w:r w:rsidRPr="007179F4">
        <w:rPr>
          <w:rFonts w:ascii="Calibri" w:hAnsi="Calibri"/>
          <w:szCs w:val="22"/>
        </w:rPr>
        <w:t xml:space="preserve">. </w:t>
      </w:r>
    </w:p>
    <w:p w14:paraId="75CF40E3" w14:textId="77777777" w:rsidR="00EE56A7" w:rsidRPr="00460765" w:rsidRDefault="00EE56A7">
      <w:pPr>
        <w:pStyle w:val="MRheading1"/>
        <w:spacing w:line="240" w:lineRule="auto"/>
      </w:pPr>
      <w:r w:rsidRPr="00460765">
        <w:t xml:space="preserve">Payment of Grant </w:t>
      </w:r>
    </w:p>
    <w:p w14:paraId="4F565625" w14:textId="2A949314" w:rsidR="001254F2" w:rsidRDefault="00EE56A7" w:rsidP="005C4569">
      <w:pPr>
        <w:pStyle w:val="MRheading2"/>
        <w:spacing w:line="240" w:lineRule="auto"/>
      </w:pPr>
      <w:r w:rsidRPr="00AD5A65">
        <w:t xml:space="preserve">Subject to </w:t>
      </w:r>
      <w:r>
        <w:t>paragraphs</w:t>
      </w:r>
      <w:r w:rsidRPr="00AD5A65">
        <w:t xml:space="preserve"> </w:t>
      </w:r>
      <w:r w:rsidR="001254F2">
        <w:fldChar w:fldCharType="begin"/>
      </w:r>
      <w:r w:rsidR="001254F2">
        <w:instrText xml:space="preserve"> REF _Ref536609084 \r \h </w:instrText>
      </w:r>
      <w:r w:rsidR="00EC5CC0">
        <w:instrText xml:space="preserve"> \* MERGEFORMAT </w:instrText>
      </w:r>
      <w:r w:rsidR="001254F2">
        <w:fldChar w:fldCharType="separate"/>
      </w:r>
      <w:r w:rsidR="006B5F2E">
        <w:t>2.2</w:t>
      </w:r>
      <w:r w:rsidR="001254F2">
        <w:fldChar w:fldCharType="end"/>
      </w:r>
      <w:r w:rsidR="00353B25">
        <w:t xml:space="preserve"> </w:t>
      </w:r>
      <w:r w:rsidR="00C2699C">
        <w:t>to</w:t>
      </w:r>
      <w:r w:rsidR="009A6DBC">
        <w:t xml:space="preserve"> </w:t>
      </w:r>
      <w:r w:rsidR="009A6DBC">
        <w:fldChar w:fldCharType="begin"/>
      </w:r>
      <w:r w:rsidR="009A6DBC">
        <w:instrText xml:space="preserve"> REF _Ref124783039 \n \h </w:instrText>
      </w:r>
      <w:r w:rsidR="005C4569">
        <w:instrText xml:space="preserve"> \* MERGEFORMAT </w:instrText>
      </w:r>
      <w:r w:rsidR="009A6DBC">
        <w:fldChar w:fldCharType="separate"/>
      </w:r>
      <w:r w:rsidR="006B5F2E">
        <w:t>2.13</w:t>
      </w:r>
      <w:r w:rsidR="009A6DBC">
        <w:fldChar w:fldCharType="end"/>
      </w:r>
      <w:r w:rsidR="001254F2">
        <w:t xml:space="preserve">, </w:t>
      </w:r>
      <w:r w:rsidR="00C2699C">
        <w:t xml:space="preserve">and paragraphs </w:t>
      </w:r>
      <w:r>
        <w:fldChar w:fldCharType="begin"/>
      </w:r>
      <w:r>
        <w:instrText xml:space="preserve"> REF _Ref319073136 \r \h </w:instrText>
      </w:r>
      <w:r w:rsidR="00EC5CC0">
        <w:instrText xml:space="preserve"> \* MERGEFORMAT </w:instrText>
      </w:r>
      <w:r>
        <w:fldChar w:fldCharType="separate"/>
      </w:r>
      <w:r w:rsidR="006B5F2E">
        <w:t>14</w:t>
      </w:r>
      <w:r>
        <w:fldChar w:fldCharType="end"/>
      </w:r>
      <w:r w:rsidR="005C4569">
        <w:t xml:space="preserve"> (</w:t>
      </w:r>
      <w:r w:rsidR="005C4569" w:rsidRPr="005C4569">
        <w:t>Withholding, Suspending and Repayment of Grant</w:t>
      </w:r>
      <w:r w:rsidR="005C4569">
        <w:t>)</w:t>
      </w:r>
      <w:r w:rsidRPr="00AD5A65">
        <w:t>,</w:t>
      </w:r>
      <w:r>
        <w:t xml:space="preserve"> </w:t>
      </w:r>
      <w:r>
        <w:fldChar w:fldCharType="begin"/>
      </w:r>
      <w:r>
        <w:instrText xml:space="preserve"> REF _Ref319073700 \r \h </w:instrText>
      </w:r>
      <w:r w:rsidR="00EC5CC0">
        <w:instrText xml:space="preserve"> \* MERGEFORMAT </w:instrText>
      </w:r>
      <w:r>
        <w:fldChar w:fldCharType="separate"/>
      </w:r>
      <w:r w:rsidR="006B5F2E">
        <w:t>21</w:t>
      </w:r>
      <w:r>
        <w:fldChar w:fldCharType="end"/>
      </w:r>
      <w:r w:rsidR="005C4569">
        <w:t xml:space="preserve"> (Termination by THET)</w:t>
      </w:r>
      <w:r>
        <w:t xml:space="preserve"> and </w:t>
      </w:r>
      <w:r>
        <w:fldChar w:fldCharType="begin"/>
      </w:r>
      <w:r>
        <w:instrText xml:space="preserve"> REF _Ref319073718 \r \h </w:instrText>
      </w:r>
      <w:r w:rsidR="00EC5CC0">
        <w:instrText xml:space="preserve"> \* MERGEFORMAT </w:instrText>
      </w:r>
      <w:r>
        <w:fldChar w:fldCharType="separate"/>
      </w:r>
      <w:r w:rsidR="006B5F2E">
        <w:t>22</w:t>
      </w:r>
      <w:r>
        <w:fldChar w:fldCharType="end"/>
      </w:r>
      <w:r w:rsidR="005C4569">
        <w:t xml:space="preserve"> (Termination by the Lead Partner</w:t>
      </w:r>
      <w:r w:rsidR="00A105F8">
        <w:t>)</w:t>
      </w:r>
      <w:r w:rsidR="001254F2">
        <w:t>,</w:t>
      </w:r>
      <w:r w:rsidRPr="00AD5A65">
        <w:t xml:space="preserve"> THET shall pay the </w:t>
      </w:r>
      <w:r w:rsidRPr="00FC14E9">
        <w:t xml:space="preserve">Grant </w:t>
      </w:r>
      <w:r w:rsidR="009A6DBC" w:rsidRPr="00FC14E9">
        <w:t xml:space="preserve">in </w:t>
      </w:r>
      <w:r w:rsidR="009A6DBC" w:rsidRPr="005F21EA">
        <w:t>sterling</w:t>
      </w:r>
      <w:r w:rsidR="009A6DBC" w:rsidRPr="00FC14E9">
        <w:t xml:space="preserve"> </w:t>
      </w:r>
      <w:r w:rsidRPr="00FC14E9">
        <w:t>to the</w:t>
      </w:r>
      <w:r w:rsidRPr="00AD5A65">
        <w:t xml:space="preserve"> </w:t>
      </w:r>
      <w:r w:rsidR="00632356">
        <w:t>Lead Partner</w:t>
      </w:r>
      <w:r w:rsidRPr="00AD5A65">
        <w:t xml:space="preserve"> in </w:t>
      </w:r>
      <w:r>
        <w:t xml:space="preserve">instalments </w:t>
      </w:r>
      <w:r w:rsidRPr="00A06A30">
        <w:t>("</w:t>
      </w:r>
      <w:r w:rsidRPr="005C4569">
        <w:rPr>
          <w:b/>
          <w:bCs/>
        </w:rPr>
        <w:t>Instalments</w:t>
      </w:r>
      <w:r w:rsidRPr="00A06A30">
        <w:t>")</w:t>
      </w:r>
      <w:r w:rsidRPr="005C4569">
        <w:rPr>
          <w:b/>
          <w:bCs/>
        </w:rPr>
        <w:t xml:space="preserve"> </w:t>
      </w:r>
      <w:r w:rsidRPr="00AD5A65">
        <w:t>in accordance with</w:t>
      </w:r>
      <w:r>
        <w:t xml:space="preserve"> the staged payment schedule set out in </w:t>
      </w:r>
      <w:r w:rsidR="00B72682">
        <w:t>Annex 2</w:t>
      </w:r>
      <w:r w:rsidR="002F2A86">
        <w:t xml:space="preserve"> </w:t>
      </w:r>
      <w:r>
        <w:t>and agreed and/or amended by THET from time to time</w:t>
      </w:r>
      <w:r w:rsidR="002A68BF">
        <w:t xml:space="preserve"> with prior written notice</w:t>
      </w:r>
      <w:r w:rsidRPr="00AD5A65">
        <w:t>.</w:t>
      </w:r>
      <w:r w:rsidR="00564202">
        <w:t xml:space="preserve"> </w:t>
      </w:r>
      <w:r w:rsidR="006D472A">
        <w:t xml:space="preserve">The </w:t>
      </w:r>
      <w:r w:rsidR="008024F1">
        <w:lastRenderedPageBreak/>
        <w:t>I</w:t>
      </w:r>
      <w:r w:rsidR="006D472A">
        <w:t>nstalments shall be paid to th</w:t>
      </w:r>
      <w:r w:rsidR="006C2727">
        <w:t>e</w:t>
      </w:r>
      <w:r w:rsidR="006D472A">
        <w:t xml:space="preserve"> bank account set out in Annex 3</w:t>
      </w:r>
      <w:r w:rsidR="001A1447">
        <w:t xml:space="preserve"> (which shall be, unless otherwise agreed by THET</w:t>
      </w:r>
      <w:r w:rsidR="00955EB4">
        <w:t xml:space="preserve"> </w:t>
      </w:r>
      <w:r w:rsidR="0023136C">
        <w:t>in writing in advance</w:t>
      </w:r>
      <w:r w:rsidR="001A1447">
        <w:t xml:space="preserve">, </w:t>
      </w:r>
      <w:r w:rsidR="00B8658A">
        <w:t>a standard</w:t>
      </w:r>
      <w:r w:rsidR="001A1447">
        <w:t xml:space="preserve"> account with a UK bank</w:t>
      </w:r>
      <w:r w:rsidR="00B8658A">
        <w:t xml:space="preserve"> in the clearing bank system)</w:t>
      </w:r>
      <w:r w:rsidR="006D472A">
        <w:t>.</w:t>
      </w:r>
    </w:p>
    <w:p w14:paraId="275ED3F4" w14:textId="28BABA23" w:rsidR="00F47F20" w:rsidRDefault="00F47F20" w:rsidP="00730E8E">
      <w:pPr>
        <w:pStyle w:val="MRheading2"/>
        <w:spacing w:line="240" w:lineRule="auto"/>
      </w:pPr>
      <w:bookmarkStart w:id="10" w:name="_Ref536609084"/>
      <w:r w:rsidRPr="00AD5A65">
        <w:t xml:space="preserve">The </w:t>
      </w:r>
      <w:r>
        <w:t>Lead Partner</w:t>
      </w:r>
      <w:r w:rsidRPr="00AD5A65">
        <w:t xml:space="preserve"> agrees and accepts that payments of the Grant can only be made </w:t>
      </w:r>
      <w:r>
        <w:t xml:space="preserve">insofar that THET has available funds. </w:t>
      </w:r>
    </w:p>
    <w:p w14:paraId="2AF93229" w14:textId="39226176" w:rsidR="00EE56A7" w:rsidRDefault="001A3ED3">
      <w:pPr>
        <w:pStyle w:val="MRheading2"/>
        <w:spacing w:line="240" w:lineRule="auto"/>
      </w:pPr>
      <w:bookmarkStart w:id="11" w:name="_Ref124872910"/>
      <w:bookmarkEnd w:id="10"/>
      <w:r>
        <w:t>THET</w:t>
      </w:r>
      <w:r w:rsidRPr="001A3ED3">
        <w:t xml:space="preserve"> will have no liability to the </w:t>
      </w:r>
      <w:r>
        <w:t>Lead Partner</w:t>
      </w:r>
      <w:r w:rsidRPr="001A3ED3">
        <w:t xml:space="preserve"> for any Losses caused by a delay in the payment of a Grant claim</w:t>
      </w:r>
      <w:r w:rsidR="00DE36FF">
        <w:t>,</w:t>
      </w:r>
      <w:r w:rsidRPr="001A3ED3">
        <w:t xml:space="preserve"> howsoever arising</w:t>
      </w:r>
      <w:r w:rsidR="00836C2E">
        <w:t>.</w:t>
      </w:r>
      <w:bookmarkEnd w:id="11"/>
    </w:p>
    <w:p w14:paraId="350625BD" w14:textId="11E46F46" w:rsidR="00EE56A7" w:rsidRPr="00460765" w:rsidRDefault="01A3A62F" w:rsidP="7D6BE9DE">
      <w:pPr>
        <w:pStyle w:val="MRheading2"/>
        <w:spacing w:line="240" w:lineRule="auto"/>
        <w:rPr>
          <w:b/>
          <w:bCs/>
        </w:rPr>
      </w:pPr>
      <w:r w:rsidRPr="7D6BE9DE">
        <w:rPr>
          <w:rFonts w:cs="Arial"/>
        </w:rPr>
        <w:t xml:space="preserve">With the exception of the first Instalment, payments of each Instalment of the Grant </w:t>
      </w:r>
      <w:r>
        <w:t>shall be conditional upon</w:t>
      </w:r>
      <w:bookmarkStart w:id="12" w:name="_Ref319074327"/>
      <w:r>
        <w:t xml:space="preserve"> submission by the </w:t>
      </w:r>
      <w:r w:rsidR="7D62A095">
        <w:t>Lead Partner</w:t>
      </w:r>
      <w:r>
        <w:t xml:space="preserve"> of progress reports relating to the </w:t>
      </w:r>
      <w:r w:rsidR="4C574C7F">
        <w:t>GHWP</w:t>
      </w:r>
      <w:r>
        <w:t xml:space="preserve"> in accordance with paragraph </w:t>
      </w:r>
      <w:r w:rsidR="00EE56A7">
        <w:fldChar w:fldCharType="begin"/>
      </w:r>
      <w:r w:rsidR="00EE56A7">
        <w:instrText xml:space="preserve"> REF _Ref319072126 \r \h  \* MERGEFORMAT </w:instrText>
      </w:r>
      <w:r w:rsidR="00EE56A7">
        <w:fldChar w:fldCharType="separate"/>
      </w:r>
      <w:r w:rsidR="006B5F2E">
        <w:t>6</w:t>
      </w:r>
      <w:r w:rsidR="00EE56A7">
        <w:fldChar w:fldCharType="end"/>
      </w:r>
      <w:bookmarkEnd w:id="12"/>
      <w:r w:rsidR="69617FD0">
        <w:t xml:space="preserve"> </w:t>
      </w:r>
      <w:r w:rsidR="728E9CCB">
        <w:t xml:space="preserve">(Monitoring and Reporting) </w:t>
      </w:r>
      <w:r w:rsidR="69617FD0">
        <w:t>which are satisfactory to THET</w:t>
      </w:r>
      <w:r>
        <w:t>.</w:t>
      </w:r>
    </w:p>
    <w:p w14:paraId="47E28B24" w14:textId="5501B268" w:rsidR="00EE56A7" w:rsidRPr="00C963AC" w:rsidRDefault="01A3A62F">
      <w:pPr>
        <w:pStyle w:val="MRheading2"/>
        <w:spacing w:line="240" w:lineRule="auto"/>
      </w:pPr>
      <w:r w:rsidRPr="7D6BE9DE">
        <w:rPr>
          <w:rFonts w:cs="Arial"/>
        </w:rPr>
        <w:t xml:space="preserve">No </w:t>
      </w:r>
      <w:r>
        <w:t>Instalment shall be paid unless and until THET is satisfied that such payment</w:t>
      </w:r>
      <w:r w:rsidRPr="7D6BE9DE">
        <w:rPr>
          <w:rFonts w:cs="Arial"/>
        </w:rPr>
        <w:t xml:space="preserve"> </w:t>
      </w:r>
      <w:r w:rsidR="009C05E6">
        <w:rPr>
          <w:rFonts w:cs="Arial"/>
        </w:rPr>
        <w:t>shall</w:t>
      </w:r>
      <w:r w:rsidR="009C05E6" w:rsidRPr="7D6BE9DE">
        <w:rPr>
          <w:rFonts w:cs="Arial"/>
        </w:rPr>
        <w:t xml:space="preserve"> </w:t>
      </w:r>
      <w:r w:rsidRPr="7D6BE9DE">
        <w:rPr>
          <w:rFonts w:cs="Arial"/>
        </w:rPr>
        <w:t xml:space="preserve">be used for proper expenditure </w:t>
      </w:r>
      <w:r w:rsidR="5169969F" w:rsidRPr="7D6BE9DE">
        <w:rPr>
          <w:rFonts w:cs="Arial"/>
        </w:rPr>
        <w:t xml:space="preserve">in accordance with the budget and project plan agreed with THET for </w:t>
      </w:r>
      <w:r w:rsidRPr="7D6BE9DE">
        <w:rPr>
          <w:rFonts w:cs="Arial"/>
        </w:rPr>
        <w:t xml:space="preserve">the delivery of the </w:t>
      </w:r>
      <w:r w:rsidR="4C574C7F" w:rsidRPr="7D6BE9DE">
        <w:rPr>
          <w:rFonts w:cs="Arial"/>
        </w:rPr>
        <w:t>GHWP</w:t>
      </w:r>
      <w:r w:rsidR="39C064C7" w:rsidRPr="7D6BE9DE">
        <w:rPr>
          <w:rFonts w:cs="Arial"/>
        </w:rPr>
        <w:t xml:space="preserve"> project</w:t>
      </w:r>
      <w:r w:rsidRPr="7D6BE9DE">
        <w:rPr>
          <w:rFonts w:cs="Arial"/>
        </w:rPr>
        <w:t xml:space="preserve">. </w:t>
      </w:r>
    </w:p>
    <w:p w14:paraId="5900C8DB" w14:textId="6DB1D65E" w:rsidR="00EE56A7" w:rsidRDefault="01A3A62F" w:rsidP="7D6BE9DE">
      <w:pPr>
        <w:pStyle w:val="MRheading2"/>
        <w:spacing w:line="240" w:lineRule="auto"/>
        <w:rPr>
          <w:rFonts w:cs="Arial"/>
        </w:rPr>
      </w:pPr>
      <w:r>
        <w:t xml:space="preserve">The </w:t>
      </w:r>
      <w:r w:rsidRPr="7D6BE9DE">
        <w:rPr>
          <w:rFonts w:cs="Arial"/>
        </w:rPr>
        <w:t>amount</w:t>
      </w:r>
      <w:r>
        <w:t xml:space="preserve"> of the Grant shall not be increased in the event of any overspend by the </w:t>
      </w:r>
      <w:r w:rsidR="7D62A095" w:rsidRPr="7D6BE9DE">
        <w:rPr>
          <w:rFonts w:cs="Arial"/>
        </w:rPr>
        <w:t>Lead Partner</w:t>
      </w:r>
      <w:r w:rsidRPr="7D6BE9DE">
        <w:rPr>
          <w:rFonts w:cs="Arial"/>
        </w:rPr>
        <w:t xml:space="preserve"> in its delivery of the </w:t>
      </w:r>
      <w:r w:rsidR="4C574C7F" w:rsidRPr="7D6BE9DE">
        <w:rPr>
          <w:rFonts w:cs="Arial"/>
        </w:rPr>
        <w:t>GHWP</w:t>
      </w:r>
      <w:r w:rsidR="39C064C7" w:rsidRPr="7D6BE9DE">
        <w:rPr>
          <w:rFonts w:cs="Arial"/>
        </w:rPr>
        <w:t xml:space="preserve"> project</w:t>
      </w:r>
      <w:r w:rsidRPr="7D6BE9DE">
        <w:rPr>
          <w:rFonts w:cs="Arial"/>
        </w:rPr>
        <w:t xml:space="preserve">. </w:t>
      </w:r>
      <w:r w:rsidR="69617FD0" w:rsidRPr="7D6BE9DE">
        <w:rPr>
          <w:rFonts w:cs="Arial"/>
        </w:rPr>
        <w:t xml:space="preserve">Any such amounts spent or incurred by the </w:t>
      </w:r>
      <w:r w:rsidR="7D62A095" w:rsidRPr="7D6BE9DE">
        <w:rPr>
          <w:rFonts w:cs="Arial"/>
        </w:rPr>
        <w:t>Lead Partner</w:t>
      </w:r>
      <w:r w:rsidR="69617FD0" w:rsidRPr="7D6BE9DE">
        <w:rPr>
          <w:rFonts w:cs="Arial"/>
        </w:rPr>
        <w:t xml:space="preserve"> in </w:t>
      </w:r>
      <w:r w:rsidR="51C6300E" w:rsidRPr="7D6BE9DE">
        <w:rPr>
          <w:rFonts w:cs="Arial"/>
        </w:rPr>
        <w:t>excess</w:t>
      </w:r>
      <w:r w:rsidR="69617FD0" w:rsidRPr="7D6BE9DE">
        <w:rPr>
          <w:rFonts w:cs="Arial"/>
        </w:rPr>
        <w:t xml:space="preserve"> of the Grant shall be the </w:t>
      </w:r>
      <w:r w:rsidR="7D62A095" w:rsidRPr="7D6BE9DE">
        <w:rPr>
          <w:rFonts w:cs="Arial"/>
        </w:rPr>
        <w:t>Lead Partner</w:t>
      </w:r>
      <w:r w:rsidR="4E930102" w:rsidRPr="7D6BE9DE">
        <w:rPr>
          <w:rFonts w:cs="Arial"/>
        </w:rPr>
        <w:t>’</w:t>
      </w:r>
      <w:r w:rsidR="69617FD0" w:rsidRPr="7D6BE9DE">
        <w:rPr>
          <w:rFonts w:cs="Arial"/>
        </w:rPr>
        <w:t>s responsibility.</w:t>
      </w:r>
    </w:p>
    <w:p w14:paraId="6E84C4C9" w14:textId="5B669610" w:rsidR="007A1C8C" w:rsidRDefault="00EE56A7">
      <w:pPr>
        <w:pStyle w:val="MRheading2"/>
        <w:spacing w:line="240" w:lineRule="auto"/>
        <w:rPr>
          <w:rFonts w:cs="Arial"/>
          <w:szCs w:val="22"/>
        </w:rPr>
      </w:pPr>
      <w:r>
        <w:rPr>
          <w:rFonts w:cs="Arial"/>
          <w:szCs w:val="22"/>
        </w:rPr>
        <w:t xml:space="preserve">Grant monies shall be deemed to cover </w:t>
      </w:r>
      <w:r w:rsidRPr="00BE1DDB">
        <w:rPr>
          <w:rFonts w:cs="Arial"/>
          <w:szCs w:val="22"/>
        </w:rPr>
        <w:t xml:space="preserve">the cost of salary, overseas inducements, leave allowances, bonuses, profit, taxes, superannuation, non-working days and all other costs including, but not limited to, clothing, passports, visas and vaccinations, overheads and expenses of whatsoever nature that may be incurred except those otherwise </w:t>
      </w:r>
      <w:r w:rsidR="00A4531E">
        <w:rPr>
          <w:rFonts w:cs="Arial"/>
          <w:szCs w:val="22"/>
        </w:rPr>
        <w:t xml:space="preserve">expressly </w:t>
      </w:r>
      <w:r w:rsidRPr="00BE1DDB">
        <w:rPr>
          <w:rFonts w:cs="Arial"/>
          <w:szCs w:val="22"/>
        </w:rPr>
        <w:t xml:space="preserve">specifically provided for in this </w:t>
      </w:r>
      <w:r>
        <w:rPr>
          <w:rFonts w:cs="Arial"/>
          <w:szCs w:val="22"/>
        </w:rPr>
        <w:t>Agreement</w:t>
      </w:r>
      <w:r w:rsidRPr="00BE1DDB">
        <w:rPr>
          <w:rFonts w:cs="Arial"/>
          <w:szCs w:val="22"/>
        </w:rPr>
        <w:t>.</w:t>
      </w:r>
      <w:r w:rsidR="00B83AA4">
        <w:rPr>
          <w:rFonts w:cs="Arial"/>
          <w:szCs w:val="22"/>
        </w:rPr>
        <w:t xml:space="preserve"> </w:t>
      </w:r>
    </w:p>
    <w:p w14:paraId="0E265F2A" w14:textId="39E98F93" w:rsidR="00EE56A7" w:rsidRPr="007A1C8C" w:rsidRDefault="00B83AA4">
      <w:pPr>
        <w:pStyle w:val="MRheading2"/>
        <w:spacing w:line="240" w:lineRule="auto"/>
        <w:rPr>
          <w:rFonts w:cs="Arial"/>
          <w:szCs w:val="22"/>
        </w:rPr>
      </w:pPr>
      <w:r w:rsidRPr="007A1C8C">
        <w:rPr>
          <w:rFonts w:cs="Arial"/>
          <w:szCs w:val="22"/>
        </w:rPr>
        <w:t>Volunteer i</w:t>
      </w:r>
      <w:r w:rsidR="007D6D47" w:rsidRPr="007A1C8C">
        <w:rPr>
          <w:rFonts w:cs="Arial"/>
          <w:szCs w:val="22"/>
        </w:rPr>
        <w:t>nsurance</w:t>
      </w:r>
      <w:r w:rsidRPr="007A1C8C">
        <w:rPr>
          <w:rFonts w:cs="Arial"/>
          <w:szCs w:val="22"/>
        </w:rPr>
        <w:t xml:space="preserve"> </w:t>
      </w:r>
      <w:r w:rsidR="007D6D47" w:rsidRPr="007A1C8C">
        <w:rPr>
          <w:rFonts w:cs="Arial"/>
          <w:szCs w:val="22"/>
        </w:rPr>
        <w:t xml:space="preserve">will only be covered with </w:t>
      </w:r>
      <w:r w:rsidR="00A4531E">
        <w:rPr>
          <w:rFonts w:cs="Arial"/>
          <w:szCs w:val="22"/>
        </w:rPr>
        <w:t>G</w:t>
      </w:r>
      <w:r w:rsidR="00A4531E" w:rsidRPr="007A1C8C">
        <w:rPr>
          <w:rFonts w:cs="Arial"/>
          <w:szCs w:val="22"/>
        </w:rPr>
        <w:t xml:space="preserve">rant </w:t>
      </w:r>
      <w:r w:rsidR="007D6D47" w:rsidRPr="007A1C8C">
        <w:rPr>
          <w:rFonts w:cs="Arial"/>
          <w:szCs w:val="22"/>
        </w:rPr>
        <w:t>monies in cases where insurance</w:t>
      </w:r>
      <w:r w:rsidRPr="007A1C8C">
        <w:rPr>
          <w:rFonts w:cs="Arial"/>
          <w:szCs w:val="22"/>
        </w:rPr>
        <w:t xml:space="preserve"> costs are</w:t>
      </w:r>
      <w:r w:rsidR="007D6D47" w:rsidRPr="007A1C8C">
        <w:rPr>
          <w:rFonts w:cs="Arial"/>
          <w:szCs w:val="22"/>
        </w:rPr>
        <w:t xml:space="preserve"> not already covered by</w:t>
      </w:r>
      <w:r w:rsidRPr="007A1C8C">
        <w:rPr>
          <w:rFonts w:cs="Arial"/>
          <w:szCs w:val="22"/>
        </w:rPr>
        <w:t xml:space="preserve"> insurance arrangements at</w:t>
      </w:r>
      <w:r w:rsidR="007D6D47" w:rsidRPr="007A1C8C">
        <w:rPr>
          <w:rFonts w:cs="Arial"/>
          <w:szCs w:val="22"/>
        </w:rPr>
        <w:t xml:space="preserve"> the </w:t>
      </w:r>
      <w:r w:rsidR="00632356">
        <w:rPr>
          <w:rFonts w:cs="Arial"/>
          <w:szCs w:val="22"/>
        </w:rPr>
        <w:t>Lead Partner</w:t>
      </w:r>
      <w:r w:rsidRPr="007A1C8C">
        <w:rPr>
          <w:rFonts w:cs="Arial"/>
          <w:szCs w:val="22"/>
        </w:rPr>
        <w:t xml:space="preserve"> institution</w:t>
      </w:r>
      <w:r w:rsidR="007D6D47" w:rsidRPr="007A1C8C">
        <w:rPr>
          <w:rFonts w:cs="Arial"/>
          <w:szCs w:val="22"/>
        </w:rPr>
        <w:t>.</w:t>
      </w:r>
      <w:r w:rsidRPr="007A1C8C">
        <w:rPr>
          <w:rFonts w:cs="Arial"/>
          <w:szCs w:val="22"/>
        </w:rPr>
        <w:t xml:space="preserve"> </w:t>
      </w:r>
      <w:r w:rsidR="008E7C03">
        <w:rPr>
          <w:rFonts w:cs="Arial"/>
          <w:szCs w:val="22"/>
        </w:rPr>
        <w:t>Volunteer i</w:t>
      </w:r>
      <w:r w:rsidR="007A1C8C" w:rsidRPr="007A1C8C">
        <w:rPr>
          <w:rFonts w:cs="Arial"/>
          <w:szCs w:val="22"/>
        </w:rPr>
        <w:t xml:space="preserve">nsurance expenses will </w:t>
      </w:r>
      <w:r w:rsidR="008E7C03">
        <w:rPr>
          <w:rFonts w:cs="Arial"/>
          <w:szCs w:val="22"/>
        </w:rPr>
        <w:t xml:space="preserve">therefore </w:t>
      </w:r>
      <w:r w:rsidR="007A1C8C" w:rsidRPr="007A1C8C">
        <w:rPr>
          <w:rFonts w:cs="Arial"/>
          <w:szCs w:val="22"/>
        </w:rPr>
        <w:t xml:space="preserve">require </w:t>
      </w:r>
      <w:r w:rsidR="008E7C03">
        <w:rPr>
          <w:rFonts w:cs="Arial"/>
          <w:szCs w:val="22"/>
        </w:rPr>
        <w:t>THET</w:t>
      </w:r>
      <w:r w:rsidR="00A4531E">
        <w:rPr>
          <w:rFonts w:cs="Arial"/>
          <w:szCs w:val="22"/>
        </w:rPr>
        <w:t>’s prior written</w:t>
      </w:r>
      <w:r w:rsidR="008E7C03">
        <w:rPr>
          <w:rFonts w:cs="Arial"/>
          <w:szCs w:val="22"/>
        </w:rPr>
        <w:t xml:space="preserve"> approval</w:t>
      </w:r>
      <w:r w:rsidR="007A1C8C" w:rsidRPr="007A1C8C">
        <w:rPr>
          <w:rFonts w:cs="Arial"/>
          <w:szCs w:val="22"/>
        </w:rPr>
        <w:t xml:space="preserve">. </w:t>
      </w:r>
    </w:p>
    <w:p w14:paraId="711D8D6B" w14:textId="0998E62F" w:rsidR="00EE56A7" w:rsidRDefault="00EE56A7">
      <w:pPr>
        <w:pStyle w:val="MRheading2"/>
        <w:spacing w:line="240" w:lineRule="auto"/>
        <w:rPr>
          <w:rFonts w:cs="Arial"/>
          <w:szCs w:val="22"/>
        </w:rPr>
      </w:pPr>
      <w:r w:rsidRPr="00362404">
        <w:rPr>
          <w:rFonts w:cs="Arial"/>
          <w:szCs w:val="22"/>
        </w:rPr>
        <w:t>Travel and living expenses will be paid at a rate consistent with the</w:t>
      </w:r>
      <w:r>
        <w:rPr>
          <w:rFonts w:cs="Arial"/>
          <w:szCs w:val="22"/>
        </w:rPr>
        <w:t xml:space="preserve"> staged payment schedule set out in </w:t>
      </w:r>
      <w:r w:rsidR="00B72682">
        <w:rPr>
          <w:rFonts w:cs="Arial"/>
          <w:szCs w:val="22"/>
        </w:rPr>
        <w:t>Annex 2</w:t>
      </w:r>
      <w:r w:rsidR="00014B03">
        <w:rPr>
          <w:rFonts w:cs="Arial"/>
          <w:szCs w:val="22"/>
        </w:rPr>
        <w:t xml:space="preserve"> </w:t>
      </w:r>
      <w:r>
        <w:rPr>
          <w:rFonts w:cs="Arial"/>
          <w:szCs w:val="22"/>
        </w:rPr>
        <w:t>and agreed and/or amended by THET from time to time</w:t>
      </w:r>
      <w:r w:rsidR="009D6706">
        <w:rPr>
          <w:rFonts w:cs="Arial"/>
          <w:szCs w:val="22"/>
        </w:rPr>
        <w:t xml:space="preserve"> with prior written notice</w:t>
      </w:r>
      <w:r w:rsidRPr="00362404">
        <w:rPr>
          <w:rFonts w:cs="Arial"/>
          <w:szCs w:val="22"/>
        </w:rPr>
        <w:t xml:space="preserve">. All journeys by </w:t>
      </w:r>
      <w:r>
        <w:rPr>
          <w:rFonts w:cs="Arial"/>
          <w:szCs w:val="22"/>
        </w:rPr>
        <w:t>r</w:t>
      </w:r>
      <w:r w:rsidRPr="00362404">
        <w:rPr>
          <w:rFonts w:cs="Arial"/>
          <w:szCs w:val="22"/>
        </w:rPr>
        <w:t>ail or</w:t>
      </w:r>
      <w:r>
        <w:rPr>
          <w:rFonts w:cs="Arial"/>
          <w:szCs w:val="22"/>
        </w:rPr>
        <w:t xml:space="preserve"> air will be made by a class of</w:t>
      </w:r>
      <w:r w:rsidRPr="00362404">
        <w:rPr>
          <w:rFonts w:cs="Arial"/>
          <w:szCs w:val="22"/>
        </w:rPr>
        <w:t xml:space="preserve"> travel that is no more than </w:t>
      </w:r>
      <w:r>
        <w:rPr>
          <w:rFonts w:cs="Arial"/>
          <w:szCs w:val="22"/>
        </w:rPr>
        <w:t>s</w:t>
      </w:r>
      <w:r w:rsidRPr="00362404">
        <w:rPr>
          <w:rFonts w:cs="Arial"/>
          <w:szCs w:val="22"/>
        </w:rPr>
        <w:t xml:space="preserve">tandard / </w:t>
      </w:r>
      <w:r>
        <w:rPr>
          <w:rFonts w:cs="Arial"/>
          <w:szCs w:val="22"/>
        </w:rPr>
        <w:t>e</w:t>
      </w:r>
      <w:r w:rsidRPr="00362404">
        <w:rPr>
          <w:rFonts w:cs="Arial"/>
          <w:szCs w:val="22"/>
        </w:rPr>
        <w:t>conomy.</w:t>
      </w:r>
    </w:p>
    <w:p w14:paraId="15C746CC" w14:textId="6CA891CC" w:rsidR="00EE56A7" w:rsidRPr="00E269A8" w:rsidRDefault="00EE56A7">
      <w:pPr>
        <w:pStyle w:val="MRheading2"/>
        <w:spacing w:line="240" w:lineRule="auto"/>
        <w:rPr>
          <w:rFonts w:cs="Arial"/>
          <w:szCs w:val="22"/>
        </w:rPr>
      </w:pPr>
      <w:r>
        <w:rPr>
          <w:rFonts w:cs="Arial"/>
          <w:szCs w:val="22"/>
        </w:rPr>
        <w:t>Grant monies shall not be accounted as</w:t>
      </w:r>
      <w:r w:rsidR="00A303D3">
        <w:rPr>
          <w:rFonts w:cs="Arial"/>
          <w:szCs w:val="22"/>
        </w:rPr>
        <w:t>, or mixed with,</w:t>
      </w:r>
      <w:r>
        <w:rPr>
          <w:rFonts w:cs="Arial"/>
          <w:szCs w:val="22"/>
        </w:rPr>
        <w:t xml:space="preserve"> the general funds of the </w:t>
      </w:r>
      <w:r w:rsidR="00632356">
        <w:rPr>
          <w:rFonts w:cs="Arial"/>
          <w:szCs w:val="22"/>
        </w:rPr>
        <w:t>Lead Partner</w:t>
      </w:r>
      <w:r w:rsidRPr="00E269A8">
        <w:rPr>
          <w:rFonts w:cs="Arial"/>
          <w:szCs w:val="22"/>
        </w:rPr>
        <w:t>.</w:t>
      </w:r>
    </w:p>
    <w:p w14:paraId="30665217" w14:textId="25E9AEB4" w:rsidR="00253467" w:rsidRDefault="00636BD9">
      <w:pPr>
        <w:pStyle w:val="MRheading2"/>
        <w:spacing w:line="240" w:lineRule="auto"/>
      </w:pPr>
      <w:r>
        <w:t>Unless THET provides its prior written consent, t</w:t>
      </w:r>
      <w:r w:rsidR="00EE56A7" w:rsidRPr="00DD30CB">
        <w:t xml:space="preserve">he </w:t>
      </w:r>
      <w:r w:rsidR="00632356">
        <w:t>Lead Partner</w:t>
      </w:r>
      <w:r w:rsidR="00EE56A7" w:rsidRPr="00DD30CB">
        <w:t xml:space="preserve"> shall not transfer any part of the Grant to bank accounts</w:t>
      </w:r>
      <w:r w:rsidR="00B66A9A">
        <w:t xml:space="preserve"> which are not standard accounts within the clearing bank system.</w:t>
      </w:r>
    </w:p>
    <w:p w14:paraId="599643A5" w14:textId="494ED490" w:rsidR="00EE56A7" w:rsidRDefault="00EE56A7">
      <w:pPr>
        <w:pStyle w:val="MRheading2"/>
        <w:spacing w:line="240" w:lineRule="auto"/>
        <w:rPr>
          <w:rFonts w:cs="Arial"/>
          <w:szCs w:val="22"/>
        </w:rPr>
      </w:pPr>
      <w:bookmarkStart w:id="13" w:name="_Ref536609147"/>
      <w:r w:rsidRPr="00AD5A65">
        <w:rPr>
          <w:rFonts w:cs="Arial"/>
          <w:szCs w:val="22"/>
        </w:rPr>
        <w:t xml:space="preserve">The </w:t>
      </w:r>
      <w:r w:rsidR="00632356">
        <w:rPr>
          <w:rFonts w:cs="Arial"/>
          <w:szCs w:val="22"/>
        </w:rPr>
        <w:t>Lead Partner</w:t>
      </w:r>
      <w:r w:rsidRPr="00AD5A65">
        <w:rPr>
          <w:rFonts w:cs="Arial"/>
          <w:szCs w:val="22"/>
        </w:rPr>
        <w:t xml:space="preserve"> shall repay to THET any money incorrectly paid to it</w:t>
      </w:r>
      <w:r>
        <w:rPr>
          <w:rFonts w:cs="Arial"/>
          <w:szCs w:val="22"/>
        </w:rPr>
        <w:t>,</w:t>
      </w:r>
      <w:r w:rsidRPr="00AD5A65">
        <w:rPr>
          <w:rFonts w:cs="Arial"/>
          <w:szCs w:val="22"/>
        </w:rPr>
        <w:t xml:space="preserve"> either as a result of an error or othe</w:t>
      </w:r>
      <w:r>
        <w:rPr>
          <w:rFonts w:cs="Arial"/>
          <w:szCs w:val="22"/>
        </w:rPr>
        <w:t>r</w:t>
      </w:r>
      <w:r w:rsidRPr="00AD5A65">
        <w:rPr>
          <w:rFonts w:cs="Arial"/>
          <w:szCs w:val="22"/>
        </w:rPr>
        <w:t>wise</w:t>
      </w:r>
      <w:r>
        <w:rPr>
          <w:rFonts w:cs="Arial"/>
          <w:szCs w:val="22"/>
        </w:rPr>
        <w:t>, within seven (7) days</w:t>
      </w:r>
      <w:r w:rsidR="00BF2936">
        <w:rPr>
          <w:rFonts w:cs="Arial"/>
          <w:szCs w:val="22"/>
        </w:rPr>
        <w:t xml:space="preserve"> of </w:t>
      </w:r>
      <w:r w:rsidR="00632356">
        <w:rPr>
          <w:rFonts w:cs="Arial"/>
          <w:szCs w:val="22"/>
        </w:rPr>
        <w:t>Lead Partner</w:t>
      </w:r>
      <w:r w:rsidR="00BF2936">
        <w:rPr>
          <w:rFonts w:cs="Arial"/>
          <w:szCs w:val="22"/>
        </w:rPr>
        <w:t>’s receipt of such money</w:t>
      </w:r>
      <w:r>
        <w:rPr>
          <w:rFonts w:cs="Arial"/>
          <w:szCs w:val="22"/>
        </w:rPr>
        <w:t>.</w:t>
      </w:r>
      <w:r w:rsidRPr="00AD5A65">
        <w:rPr>
          <w:rFonts w:cs="Arial"/>
          <w:szCs w:val="22"/>
        </w:rPr>
        <w:t xml:space="preserve"> This includes (without limitation) situations where either an incorrect sum of money has been paid or where Grant monies have been paid in </w:t>
      </w:r>
      <w:r>
        <w:rPr>
          <w:rFonts w:cs="Arial"/>
          <w:szCs w:val="22"/>
        </w:rPr>
        <w:t>error</w:t>
      </w:r>
      <w:r w:rsidRPr="00AD5A65">
        <w:rPr>
          <w:rFonts w:cs="Arial"/>
          <w:szCs w:val="22"/>
        </w:rPr>
        <w:t xml:space="preserve"> before all conditions </w:t>
      </w:r>
      <w:r>
        <w:rPr>
          <w:rFonts w:cs="Arial"/>
          <w:szCs w:val="22"/>
        </w:rPr>
        <w:t>attaching</w:t>
      </w:r>
      <w:r w:rsidRPr="00AD5A65">
        <w:rPr>
          <w:rFonts w:cs="Arial"/>
          <w:szCs w:val="22"/>
        </w:rPr>
        <w:t xml:space="preserve"> to the Grant have been complied with by the </w:t>
      </w:r>
      <w:r w:rsidR="00632356">
        <w:rPr>
          <w:rFonts w:cs="Arial"/>
          <w:szCs w:val="22"/>
        </w:rPr>
        <w:t>Lead Partner</w:t>
      </w:r>
      <w:r w:rsidRPr="00AD5A65">
        <w:rPr>
          <w:rFonts w:cs="Arial"/>
          <w:szCs w:val="22"/>
        </w:rPr>
        <w:t>.</w:t>
      </w:r>
      <w:bookmarkEnd w:id="13"/>
    </w:p>
    <w:p w14:paraId="1F8568F9" w14:textId="4D63D7DC" w:rsidR="00DB3C62" w:rsidRPr="00677C70" w:rsidRDefault="00DB3C62">
      <w:pPr>
        <w:pStyle w:val="MRheading2"/>
        <w:spacing w:line="240" w:lineRule="auto"/>
        <w:rPr>
          <w:rFonts w:cs="Arial"/>
          <w:szCs w:val="22"/>
        </w:rPr>
      </w:pPr>
      <w:bookmarkStart w:id="14" w:name="_Ref124783039"/>
      <w:r w:rsidRPr="00D67AEC">
        <w:lastRenderedPageBreak/>
        <w:t xml:space="preserve">Should any interest be earned on </w:t>
      </w:r>
      <w:r w:rsidR="00DC4FCD" w:rsidRPr="00DC4FCD">
        <w:t>Grant monies by the Lead Partner</w:t>
      </w:r>
      <w:r w:rsidRPr="00D67AEC">
        <w:t xml:space="preserve">, the </w:t>
      </w:r>
      <w:r>
        <w:t>Lead Partner</w:t>
      </w:r>
      <w:r w:rsidRPr="00D67AEC">
        <w:t xml:space="preserve"> will channel </w:t>
      </w:r>
      <w:r w:rsidR="00A37D26">
        <w:t>such interest</w:t>
      </w:r>
      <w:r w:rsidR="00A37D26" w:rsidRPr="00D67AEC">
        <w:t xml:space="preserve"> </w:t>
      </w:r>
      <w:r w:rsidRPr="00D67AEC">
        <w:t xml:space="preserve">back into the programme and off-set </w:t>
      </w:r>
      <w:r w:rsidR="00C54BC4">
        <w:t xml:space="preserve">such amounts </w:t>
      </w:r>
      <w:r w:rsidRPr="00D67AEC">
        <w:t xml:space="preserve">against future </w:t>
      </w:r>
      <w:r w:rsidR="008024F1">
        <w:t>I</w:t>
      </w:r>
      <w:r w:rsidR="00C54BC4">
        <w:t>nstalment</w:t>
      </w:r>
      <w:r w:rsidRPr="00D67AEC">
        <w:t xml:space="preserve"> requests to </w:t>
      </w:r>
      <w:r>
        <w:t>THET.</w:t>
      </w:r>
      <w:bookmarkEnd w:id="14"/>
    </w:p>
    <w:p w14:paraId="74ADEE86" w14:textId="77777777" w:rsidR="00EE56A7" w:rsidRPr="00C963AC" w:rsidRDefault="00EE56A7">
      <w:pPr>
        <w:pStyle w:val="MRheading1"/>
        <w:spacing w:line="240" w:lineRule="auto"/>
      </w:pPr>
      <w:bookmarkStart w:id="15" w:name="_Ref319084020"/>
      <w:r w:rsidRPr="00C963AC">
        <w:t xml:space="preserve">Use of </w:t>
      </w:r>
      <w:r>
        <w:t>G</w:t>
      </w:r>
      <w:r w:rsidRPr="00E269A8">
        <w:t>rant</w:t>
      </w:r>
      <w:bookmarkEnd w:id="15"/>
    </w:p>
    <w:p w14:paraId="4FA485DC" w14:textId="7AF68BD1" w:rsidR="00EE56A7" w:rsidRPr="00ED756B" w:rsidRDefault="01A3A62F">
      <w:pPr>
        <w:pStyle w:val="MRheading2"/>
        <w:spacing w:line="240" w:lineRule="auto"/>
      </w:pPr>
      <w:r w:rsidRPr="7D6BE9DE">
        <w:rPr>
          <w:rFonts w:cs="Arial"/>
        </w:rPr>
        <w:t xml:space="preserve">The Grant shall be used by the </w:t>
      </w:r>
      <w:r w:rsidR="7D62A095" w:rsidRPr="7D6BE9DE">
        <w:rPr>
          <w:rFonts w:cs="Arial"/>
        </w:rPr>
        <w:t>Lead Partner</w:t>
      </w:r>
      <w:r w:rsidRPr="7D6BE9DE">
        <w:rPr>
          <w:rFonts w:cs="Arial"/>
        </w:rPr>
        <w:t xml:space="preserve"> solely for the delivery of the agreed </w:t>
      </w:r>
      <w:r w:rsidR="4C574C7F" w:rsidRPr="7D6BE9DE">
        <w:rPr>
          <w:rFonts w:cs="Arial"/>
        </w:rPr>
        <w:t>GHWP</w:t>
      </w:r>
      <w:r w:rsidRPr="7D6BE9DE">
        <w:rPr>
          <w:rFonts w:cs="Arial"/>
        </w:rPr>
        <w:t xml:space="preserve"> </w:t>
      </w:r>
      <w:r w:rsidR="39C064C7" w:rsidRPr="7D6BE9DE">
        <w:rPr>
          <w:rFonts w:cs="Arial"/>
        </w:rPr>
        <w:t xml:space="preserve">project </w:t>
      </w:r>
      <w:r w:rsidRPr="7D6BE9DE">
        <w:rPr>
          <w:rFonts w:cs="Arial"/>
        </w:rPr>
        <w:t xml:space="preserve">in accordance with the terms of this Agreement. For the avoidance of doubt, the </w:t>
      </w:r>
      <w:r w:rsidR="7D62A095" w:rsidRPr="7D6BE9DE">
        <w:rPr>
          <w:rFonts w:cs="Arial"/>
        </w:rPr>
        <w:t>Lead Partner</w:t>
      </w:r>
      <w:r w:rsidRPr="7D6BE9DE">
        <w:rPr>
          <w:rFonts w:cs="Arial"/>
        </w:rPr>
        <w:t xml:space="preserve"> shall not spend Grant monies which have not been agreed in the </w:t>
      </w:r>
      <w:r w:rsidR="4C574C7F" w:rsidRPr="7D6BE9DE">
        <w:rPr>
          <w:rFonts w:cs="Arial"/>
        </w:rPr>
        <w:t>GHWP</w:t>
      </w:r>
      <w:r w:rsidR="39C064C7" w:rsidRPr="7D6BE9DE">
        <w:rPr>
          <w:rFonts w:cs="Arial"/>
        </w:rPr>
        <w:t xml:space="preserve"> </w:t>
      </w:r>
      <w:r w:rsidRPr="7D6BE9DE">
        <w:rPr>
          <w:rFonts w:cs="Arial"/>
        </w:rPr>
        <w:t>without the prior written agreement of THET.</w:t>
      </w:r>
      <w:r w:rsidR="42886F0B" w:rsidRPr="7D6BE9DE">
        <w:rPr>
          <w:rFonts w:cs="Arial"/>
        </w:rPr>
        <w:t xml:space="preserve"> </w:t>
      </w:r>
    </w:p>
    <w:p w14:paraId="75B03A6F" w14:textId="34822965" w:rsidR="00EE56A7" w:rsidRPr="00E269A8" w:rsidRDefault="01A3A62F">
      <w:pPr>
        <w:pStyle w:val="MRheading2"/>
        <w:spacing w:line="240" w:lineRule="auto"/>
      </w:pPr>
      <w:r w:rsidRPr="7D6BE9DE">
        <w:rPr>
          <w:rFonts w:cs="Arial"/>
        </w:rPr>
        <w:t xml:space="preserve">If the </w:t>
      </w:r>
      <w:r w:rsidR="4C574C7F" w:rsidRPr="7D6BE9DE">
        <w:rPr>
          <w:rFonts w:cs="Arial"/>
        </w:rPr>
        <w:t>GHWP</w:t>
      </w:r>
      <w:r w:rsidRPr="7D6BE9DE">
        <w:rPr>
          <w:rFonts w:cs="Arial"/>
        </w:rPr>
        <w:t xml:space="preserve"> </w:t>
      </w:r>
      <w:r w:rsidR="39C064C7" w:rsidRPr="7D6BE9DE">
        <w:rPr>
          <w:rFonts w:cs="Arial"/>
        </w:rPr>
        <w:t xml:space="preserve">project </w:t>
      </w:r>
      <w:r w:rsidRPr="7D6BE9DE">
        <w:rPr>
          <w:rFonts w:cs="Arial"/>
        </w:rPr>
        <w:t xml:space="preserve">contains a contingency budget this shall not be utilised without THET’s prior written approval. </w:t>
      </w:r>
    </w:p>
    <w:p w14:paraId="04BEBBA6" w14:textId="6BC30991" w:rsidR="00EE56A7" w:rsidRPr="00BE1DDB" w:rsidRDefault="01A3A62F" w:rsidP="7D6BE9DE">
      <w:pPr>
        <w:pStyle w:val="MRheading2"/>
        <w:spacing w:line="240" w:lineRule="auto"/>
        <w:rPr>
          <w:rFonts w:cs="Arial"/>
        </w:rPr>
      </w:pPr>
      <w:r>
        <w:t xml:space="preserve">All items of expenditure made from Grant monies shall be directly related to the development and delivery of the </w:t>
      </w:r>
      <w:r w:rsidR="4C574C7F">
        <w:t>GHWP</w:t>
      </w:r>
      <w:r>
        <w:t xml:space="preserve"> </w:t>
      </w:r>
      <w:r w:rsidR="15F32C8A">
        <w:t xml:space="preserve">project </w:t>
      </w:r>
      <w:r>
        <w:t xml:space="preserve">and in keeping with the aims and objectives of </w:t>
      </w:r>
      <w:r w:rsidR="4C574C7F">
        <w:t>GHWP</w:t>
      </w:r>
      <w:r w:rsidR="001A2A2D">
        <w:t>. Guidance</w:t>
      </w:r>
      <w:r>
        <w:t xml:space="preserve"> as to the eligibility of certain costs</w:t>
      </w:r>
      <w:r w:rsidR="2B42421C">
        <w:t xml:space="preserve"> not identified in the Grant budget</w:t>
      </w:r>
      <w:r>
        <w:t xml:space="preserve"> shall be provided by THET from time to time</w:t>
      </w:r>
      <w:r w:rsidR="3E762F90">
        <w:t xml:space="preserve"> or otherwise upon the </w:t>
      </w:r>
      <w:r w:rsidR="7D62A095">
        <w:t>Lead Partner</w:t>
      </w:r>
      <w:r w:rsidR="3E762F90">
        <w:t xml:space="preserve">’s written request, and the </w:t>
      </w:r>
      <w:r w:rsidR="7D62A095">
        <w:t>Lead Partner</w:t>
      </w:r>
      <w:r w:rsidR="3E762F90">
        <w:t xml:space="preserve"> shall comply with such guidance</w:t>
      </w:r>
      <w:r>
        <w:t>.</w:t>
      </w:r>
      <w:r w:rsidR="68332067">
        <w:t xml:space="preserve"> </w:t>
      </w:r>
      <w:r>
        <w:t xml:space="preserve">In the event that the nature of any proposed item of expenditure by the </w:t>
      </w:r>
      <w:r w:rsidR="7D62A095">
        <w:t>Lead Partner</w:t>
      </w:r>
      <w:r>
        <w:t xml:space="preserve"> is unclear in this respect, the </w:t>
      </w:r>
      <w:r w:rsidR="7D62A095">
        <w:t>Lead Partner</w:t>
      </w:r>
      <w:r>
        <w:t xml:space="preserve"> shall seek express guidance from THET in advance of incurring such expenditure</w:t>
      </w:r>
      <w:r w:rsidR="3E762F90">
        <w:t xml:space="preserve"> (and any failure to obtain such express guidance shall be at the </w:t>
      </w:r>
      <w:r w:rsidR="7D62A095">
        <w:t>Lead Partner</w:t>
      </w:r>
      <w:r w:rsidR="3E762F90">
        <w:t>’s sole risk)</w:t>
      </w:r>
      <w:r>
        <w:t>.</w:t>
      </w:r>
    </w:p>
    <w:p w14:paraId="24318495" w14:textId="7595D54F" w:rsidR="00EE56A7" w:rsidRPr="00E269A8" w:rsidRDefault="01A3A62F"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shall promptly at THET’s request justify</w:t>
      </w:r>
      <w:r w:rsidR="4B1AF0A8" w:rsidRPr="7D6BE9DE">
        <w:rPr>
          <w:rFonts w:cs="Arial"/>
        </w:rPr>
        <w:t xml:space="preserve"> in writing</w:t>
      </w:r>
      <w:r w:rsidRPr="7D6BE9DE">
        <w:rPr>
          <w:rFonts w:cs="Arial"/>
        </w:rPr>
        <w:t xml:space="preserve"> any item(s) of expenditure made from Grant monies as being in keeping with the aims and objectives of </w:t>
      </w:r>
      <w:r w:rsidR="4C574C7F" w:rsidRPr="7D6BE9DE">
        <w:rPr>
          <w:rFonts w:cs="Arial"/>
        </w:rPr>
        <w:t>GHWP</w:t>
      </w:r>
      <w:r w:rsidRPr="7D6BE9DE">
        <w:rPr>
          <w:rFonts w:cs="Arial"/>
        </w:rPr>
        <w:t>.</w:t>
      </w:r>
    </w:p>
    <w:p w14:paraId="1AB8013A" w14:textId="094DAAB5" w:rsidR="00EE56A7" w:rsidRPr="00E269A8" w:rsidRDefault="01A3A62F"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shall be responsible for the payment of any Grant monies to Partners in accordance with </w:t>
      </w:r>
      <w:r w:rsidR="4C574C7F" w:rsidRPr="7D6BE9DE">
        <w:rPr>
          <w:rFonts w:cs="Arial"/>
        </w:rPr>
        <w:t>GHWP</w:t>
      </w:r>
      <w:r w:rsidRPr="7D6BE9DE">
        <w:rPr>
          <w:rFonts w:cs="Arial"/>
        </w:rPr>
        <w:t>. For the avoidance of doubt, THET is not obliged under the terms of this Agreement to make any payments directly to any Partner(s).</w:t>
      </w:r>
    </w:p>
    <w:p w14:paraId="2013D149" w14:textId="2061E344" w:rsidR="00EE56A7" w:rsidRPr="00E269A8" w:rsidRDefault="01A3A62F" w:rsidP="7D6BE9DE">
      <w:pPr>
        <w:pStyle w:val="MRheading2"/>
        <w:spacing w:line="240" w:lineRule="auto"/>
        <w:rPr>
          <w:rFonts w:cs="Arial"/>
        </w:rPr>
      </w:pPr>
      <w:r w:rsidRPr="7D6BE9DE">
        <w:rPr>
          <w:rFonts w:cs="Arial"/>
        </w:rPr>
        <w:t xml:space="preserve">Where the </w:t>
      </w:r>
      <w:r w:rsidR="7D62A095" w:rsidRPr="7D6BE9DE">
        <w:rPr>
          <w:rFonts w:cs="Arial"/>
        </w:rPr>
        <w:t>Lead Partner</w:t>
      </w:r>
      <w:r w:rsidRPr="7D6BE9DE">
        <w:rPr>
          <w:rFonts w:cs="Arial"/>
        </w:rPr>
        <w:t xml:space="preserve"> has obtained funding from a third party in relation to its delivery of the </w:t>
      </w:r>
      <w:r w:rsidR="4C574C7F" w:rsidRPr="7D6BE9DE">
        <w:rPr>
          <w:rFonts w:cs="Arial"/>
        </w:rPr>
        <w:t>GHWP</w:t>
      </w:r>
      <w:r w:rsidRPr="7D6BE9DE">
        <w:rPr>
          <w:rFonts w:cs="Arial"/>
        </w:rPr>
        <w:t xml:space="preserve"> </w:t>
      </w:r>
      <w:r w:rsidR="39C064C7" w:rsidRPr="7D6BE9DE">
        <w:rPr>
          <w:rFonts w:cs="Arial"/>
        </w:rPr>
        <w:t xml:space="preserve">project </w:t>
      </w:r>
      <w:r w:rsidRPr="7D6BE9DE">
        <w:rPr>
          <w:rFonts w:cs="Arial"/>
        </w:rPr>
        <w:t>(including without limitation funding for associated administration and staffing costs), the amount of such funding shall be notified to THET in writing together with a clear description of what that funding shall be used for.</w:t>
      </w:r>
    </w:p>
    <w:p w14:paraId="33508E60" w14:textId="7C061DF0" w:rsidR="00EE56A7" w:rsidRPr="00295439" w:rsidRDefault="01A3A62F"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shall not spend any part of the Grant on the delivery of the </w:t>
      </w:r>
      <w:r w:rsidR="4C574C7F" w:rsidRPr="7D6BE9DE">
        <w:rPr>
          <w:rFonts w:cs="Arial"/>
        </w:rPr>
        <w:t>GHWP</w:t>
      </w:r>
      <w:r w:rsidR="39C064C7" w:rsidRPr="7D6BE9DE">
        <w:rPr>
          <w:rFonts w:cs="Arial"/>
        </w:rPr>
        <w:t xml:space="preserve"> project</w:t>
      </w:r>
      <w:r w:rsidRPr="7D6BE9DE">
        <w:rPr>
          <w:rFonts w:cs="Arial"/>
        </w:rPr>
        <w:t xml:space="preserve"> after the </w:t>
      </w:r>
      <w:r w:rsidR="4B1AF0A8" w:rsidRPr="7D6BE9DE">
        <w:rPr>
          <w:rFonts w:cs="Arial"/>
        </w:rPr>
        <w:t xml:space="preserve">expiry of the </w:t>
      </w:r>
      <w:r w:rsidRPr="7D6BE9DE">
        <w:rPr>
          <w:rFonts w:cs="Arial"/>
        </w:rPr>
        <w:t>Grant Period without the prior written consent of THET.</w:t>
      </w:r>
    </w:p>
    <w:p w14:paraId="3472BCD6" w14:textId="77777777" w:rsidR="00EE56A7" w:rsidRPr="00295439" w:rsidRDefault="00EE56A7">
      <w:pPr>
        <w:pStyle w:val="MRheading2"/>
        <w:spacing w:line="240" w:lineRule="auto"/>
        <w:rPr>
          <w:rFonts w:cs="Arial"/>
          <w:szCs w:val="22"/>
        </w:rPr>
      </w:pPr>
      <w:r w:rsidRPr="00AD5A65">
        <w:rPr>
          <w:rFonts w:cs="Arial"/>
          <w:szCs w:val="22"/>
        </w:rPr>
        <w:t xml:space="preserve">Any part of an Instalment which remains unspent after satisfaction of the conditions applicable to such Instalment </w:t>
      </w:r>
      <w:r>
        <w:rPr>
          <w:rFonts w:cs="Arial"/>
          <w:szCs w:val="22"/>
        </w:rPr>
        <w:t xml:space="preserve">may </w:t>
      </w:r>
      <w:r w:rsidRPr="00AD5A65">
        <w:rPr>
          <w:rFonts w:cs="Arial"/>
          <w:szCs w:val="22"/>
        </w:rPr>
        <w:t xml:space="preserve">be deducted from future Instalments </w:t>
      </w:r>
      <w:r>
        <w:rPr>
          <w:rFonts w:cs="Arial"/>
          <w:szCs w:val="22"/>
        </w:rPr>
        <w:t>at THET’s sole discretion</w:t>
      </w:r>
      <w:r w:rsidRPr="00AD5A65">
        <w:rPr>
          <w:rFonts w:cs="Arial"/>
          <w:szCs w:val="22"/>
        </w:rPr>
        <w:t>.</w:t>
      </w:r>
    </w:p>
    <w:p w14:paraId="30C32DEB" w14:textId="2B35E137" w:rsidR="00EE56A7" w:rsidRDefault="01A3A62F">
      <w:pPr>
        <w:pStyle w:val="MRheading2"/>
        <w:spacing w:line="240" w:lineRule="auto"/>
      </w:pPr>
      <w:r w:rsidRPr="7D6BE9DE">
        <w:rPr>
          <w:rFonts w:cs="Arial"/>
        </w:rPr>
        <w:t xml:space="preserve">Any liabilities arising at the end of the </w:t>
      </w:r>
      <w:r w:rsidR="4C574C7F" w:rsidRPr="7D6BE9DE">
        <w:rPr>
          <w:rFonts w:cs="Arial"/>
        </w:rPr>
        <w:t>GHWP</w:t>
      </w:r>
      <w:r w:rsidR="39C064C7" w:rsidRPr="7D6BE9DE">
        <w:rPr>
          <w:rFonts w:cs="Arial"/>
        </w:rPr>
        <w:t xml:space="preserve"> project</w:t>
      </w:r>
      <w:r w:rsidR="4B1AF0A8" w:rsidRPr="7D6BE9DE">
        <w:rPr>
          <w:rFonts w:cs="Arial"/>
        </w:rPr>
        <w:t>,</w:t>
      </w:r>
      <w:r w:rsidRPr="7D6BE9DE">
        <w:rPr>
          <w:rFonts w:cs="Arial"/>
        </w:rPr>
        <w:t xml:space="preserve"> including </w:t>
      </w:r>
      <w:r w:rsidR="4B1AF0A8" w:rsidRPr="7D6BE9DE">
        <w:rPr>
          <w:rFonts w:cs="Arial"/>
        </w:rPr>
        <w:t>(</w:t>
      </w:r>
      <w:r w:rsidRPr="7D6BE9DE">
        <w:rPr>
          <w:rFonts w:cs="Arial"/>
        </w:rPr>
        <w:t>without limitation</w:t>
      </w:r>
      <w:r w:rsidR="4B1AF0A8" w:rsidRPr="7D6BE9DE">
        <w:rPr>
          <w:rFonts w:cs="Arial"/>
        </w:rPr>
        <w:t>)</w:t>
      </w:r>
      <w:r w:rsidRPr="7D6BE9DE">
        <w:rPr>
          <w:rFonts w:cs="Arial"/>
        </w:rPr>
        <w:t xml:space="preserve"> any redundancy liabilities for staff employed</w:t>
      </w:r>
      <w:r>
        <w:t xml:space="preserve"> by the </w:t>
      </w:r>
      <w:r w:rsidR="7D62A095">
        <w:t>Lead Partner</w:t>
      </w:r>
      <w:r>
        <w:t xml:space="preserve"> to deliver the </w:t>
      </w:r>
      <w:r w:rsidR="4C574C7F">
        <w:t>GHWP</w:t>
      </w:r>
      <w:r>
        <w:t xml:space="preserve"> or in respect of any Partner</w:t>
      </w:r>
      <w:r w:rsidR="4B1AF0A8">
        <w:t>,</w:t>
      </w:r>
      <w:r>
        <w:t xml:space="preserve"> must be managed and paid for by the </w:t>
      </w:r>
      <w:r w:rsidR="7D62A095">
        <w:t>Lead Partner</w:t>
      </w:r>
      <w:r>
        <w:t xml:space="preserve"> using the Grant or other resources of the </w:t>
      </w:r>
      <w:r w:rsidR="7D62A095">
        <w:t>Lead Partner</w:t>
      </w:r>
      <w:r>
        <w:t xml:space="preserve">. There will be no additional funding available from THET for this purpose. </w:t>
      </w:r>
    </w:p>
    <w:p w14:paraId="4AC5517C" w14:textId="00FCC641" w:rsidR="00EE56A7" w:rsidRPr="00295439" w:rsidRDefault="01A3A62F">
      <w:pPr>
        <w:pStyle w:val="MRheading2"/>
        <w:spacing w:line="240" w:lineRule="auto"/>
      </w:pPr>
      <w:r>
        <w:lastRenderedPageBreak/>
        <w:t xml:space="preserve">Nothing in this Agreement is intended to create a VAT taxable supply and it is the understanding of THET and the </w:t>
      </w:r>
      <w:r w:rsidR="7D62A095">
        <w:t>Lead Partner</w:t>
      </w:r>
      <w:r>
        <w:t xml:space="preserve"> that the payments of </w:t>
      </w:r>
      <w:r w:rsidRPr="7D6BE9DE">
        <w:rPr>
          <w:rFonts w:cs="Arial"/>
        </w:rPr>
        <w:t>Grant</w:t>
      </w:r>
      <w:r>
        <w:t xml:space="preserve"> </w:t>
      </w:r>
      <w:r w:rsidR="7FCD3B8C">
        <w:t>m</w:t>
      </w:r>
      <w:r>
        <w:t xml:space="preserve">onies in support of the activities set out in the </w:t>
      </w:r>
      <w:r w:rsidR="4C574C7F">
        <w:t>GHWP</w:t>
      </w:r>
      <w:r>
        <w:t xml:space="preserve"> </w:t>
      </w:r>
      <w:r w:rsidR="39C064C7">
        <w:t xml:space="preserve">project </w:t>
      </w:r>
      <w:r>
        <w:t>are outside the scope of VAT.</w:t>
      </w:r>
    </w:p>
    <w:p w14:paraId="0ED3D5F8" w14:textId="1B3A0554" w:rsidR="00EE56A7" w:rsidRPr="00295439" w:rsidRDefault="00EE56A7">
      <w:pPr>
        <w:pStyle w:val="MRheading2"/>
        <w:spacing w:line="240" w:lineRule="auto"/>
      </w:pPr>
      <w:r w:rsidRPr="00295439">
        <w:t xml:space="preserve">All amounts payable to the </w:t>
      </w:r>
      <w:r w:rsidR="00632356">
        <w:t>Lead Partner</w:t>
      </w:r>
      <w:r w:rsidRPr="00295439">
        <w:t xml:space="preserve"> by THET under this Agreement are inclusive of VAT properly chargeable.</w:t>
      </w:r>
    </w:p>
    <w:p w14:paraId="6FC44F5A" w14:textId="3E451110" w:rsidR="00EE56A7" w:rsidRDefault="00EE56A7">
      <w:pPr>
        <w:pStyle w:val="MRheading2"/>
        <w:spacing w:line="240" w:lineRule="auto"/>
      </w:pPr>
      <w:r>
        <w:t xml:space="preserve">Any amounts payable by THET to the </w:t>
      </w:r>
      <w:r w:rsidR="00632356">
        <w:t>Lead Partner</w:t>
      </w:r>
      <w:r>
        <w:t xml:space="preserve"> under this Agreement represent the </w:t>
      </w:r>
      <w:r w:rsidR="00632356">
        <w:t>Lead Partner</w:t>
      </w:r>
      <w:r>
        <w:t xml:space="preserve">’s income and the </w:t>
      </w:r>
      <w:r w:rsidR="00632356">
        <w:t>Lead Partner</w:t>
      </w:r>
      <w:r>
        <w:t xml:space="preserve"> shall be responsible for including such amounts in its accounts and for paying any relevant tax and national insurance thereon.</w:t>
      </w:r>
    </w:p>
    <w:p w14:paraId="31BAAFCB" w14:textId="30A9CC77" w:rsidR="00944790" w:rsidRDefault="00992B32">
      <w:pPr>
        <w:pStyle w:val="MRheading2"/>
        <w:spacing w:line="240" w:lineRule="auto"/>
      </w:pPr>
      <w:bookmarkStart w:id="16" w:name="_MailEndCompose"/>
      <w:bookmarkEnd w:id="16"/>
      <w:r w:rsidRPr="00992B32">
        <w:t xml:space="preserve">Consistent with local and international legislation and applicable United Nations Security Council resolutions, </w:t>
      </w:r>
      <w:r w:rsidR="00B76D2C">
        <w:t>DHSC</w:t>
      </w:r>
      <w:r>
        <w:t>, THET</w:t>
      </w:r>
      <w:r w:rsidRPr="00992B32">
        <w:t xml:space="preserve"> and the </w:t>
      </w:r>
      <w:r w:rsidR="00632356">
        <w:t>Lead Partner</w:t>
      </w:r>
      <w:r w:rsidRPr="00992B32">
        <w:t xml:space="preserve"> are firmly committed to the international fight against terrorism. It is the policy of </w:t>
      </w:r>
      <w:r w:rsidR="00B76D2C">
        <w:t>DHSC</w:t>
      </w:r>
      <w:r w:rsidRPr="00992B32">
        <w:t xml:space="preserve"> to seek to ensure that none of its funds are used to provide support to individuals or entities associated with terrorism and that </w:t>
      </w:r>
      <w:r w:rsidR="00B76D2C">
        <w:t>DHSC</w:t>
      </w:r>
      <w:r w:rsidRPr="00992B32">
        <w:t xml:space="preserve"> staff and its programmes activity are compliant with counter terrorist financing legislation. In accordance with this policy, the </w:t>
      </w:r>
      <w:r w:rsidR="00632356">
        <w:t>Lead Partner</w:t>
      </w:r>
      <w:r w:rsidRPr="00992B32">
        <w:t xml:space="preserve"> </w:t>
      </w:r>
      <w:r w:rsidR="00944790">
        <w:t>shall:</w:t>
      </w:r>
    </w:p>
    <w:p w14:paraId="1213D570" w14:textId="2620A4ED" w:rsidR="00944790" w:rsidRDefault="00992B32" w:rsidP="00924809">
      <w:pPr>
        <w:pStyle w:val="MRheading3"/>
        <w:spacing w:line="240" w:lineRule="auto"/>
      </w:pPr>
      <w:r w:rsidRPr="00992B32">
        <w:t>make</w:t>
      </w:r>
      <w:r>
        <w:t xml:space="preserve"> itself</w:t>
      </w:r>
      <w:r w:rsidRPr="00992B32">
        <w:t xml:space="preserve"> aware </w:t>
      </w:r>
      <w:r w:rsidR="00004878" w:rsidRPr="00992B32">
        <w:t>of and</w:t>
      </w:r>
      <w:r w:rsidRPr="00992B32">
        <w:t xml:space="preserve"> comply with </w:t>
      </w:r>
      <w:r w:rsidR="00944790">
        <w:t>its</w:t>
      </w:r>
      <w:r w:rsidR="00944790" w:rsidRPr="00992B32">
        <w:t xml:space="preserve"> </w:t>
      </w:r>
      <w:r w:rsidRPr="00992B32">
        <w:t>obligations under the relevant counter t</w:t>
      </w:r>
      <w:r w:rsidR="00014B03">
        <w:t>errorist financing legislation</w:t>
      </w:r>
      <w:r w:rsidR="00944790">
        <w:t>; and</w:t>
      </w:r>
    </w:p>
    <w:p w14:paraId="51AAA413" w14:textId="43C3D543" w:rsidR="00992B32" w:rsidRPr="00992B32" w:rsidRDefault="00944790" w:rsidP="00924809">
      <w:pPr>
        <w:pStyle w:val="MRheading3"/>
        <w:spacing w:line="240" w:lineRule="auto"/>
      </w:pPr>
      <w:r w:rsidRPr="00944790">
        <w:t xml:space="preserve">use best efforts to ensure that none of the Grant provided under this Agreement </w:t>
      </w:r>
      <w:r>
        <w:t>is</w:t>
      </w:r>
      <w:r w:rsidRPr="00944790">
        <w:t xml:space="preserve"> used to provide support to individuals or entities associated with terrorism</w:t>
      </w:r>
      <w:r>
        <w:t>.</w:t>
      </w:r>
    </w:p>
    <w:p w14:paraId="3E61076F" w14:textId="4AD93465" w:rsidR="00992B32" w:rsidRDefault="00992B32">
      <w:pPr>
        <w:pStyle w:val="MRheading2"/>
        <w:spacing w:line="240" w:lineRule="auto"/>
      </w:pPr>
      <w:r>
        <w:t xml:space="preserve">The </w:t>
      </w:r>
      <w:r w:rsidR="00632356">
        <w:t>Lead Partner</w:t>
      </w:r>
      <w:r>
        <w:t xml:space="preserve"> will </w:t>
      </w:r>
      <w:r w:rsidR="00944790">
        <w:t xml:space="preserve">use best efforts </w:t>
      </w:r>
      <w:r>
        <w:t xml:space="preserve">to ensure that none of the funds or assets provided under this </w:t>
      </w:r>
      <w:r w:rsidR="00875AE5">
        <w:t xml:space="preserve">Agreement </w:t>
      </w:r>
      <w:r>
        <w:t>are made available or used to provide support to individuals, groups or entities associated with terrorism including th</w:t>
      </w:r>
      <w:r w:rsidR="004F2E31">
        <w:t>ose named on the following lists</w:t>
      </w:r>
      <w:r>
        <w:t xml:space="preserve"> as updated from time to time: </w:t>
      </w:r>
    </w:p>
    <w:p w14:paraId="2B670764" w14:textId="3BE8CA56" w:rsidR="00992B32" w:rsidRDefault="00992B32" w:rsidP="00730E8E">
      <w:pPr>
        <w:pStyle w:val="MRheading3"/>
        <w:spacing w:line="240" w:lineRule="auto"/>
      </w:pPr>
      <w:r>
        <w:t>HM Treasury's Office of Financial Sanctions Implementation - Financial sanctions: consolidated list of targets</w:t>
      </w:r>
      <w:r w:rsidR="00165A51">
        <w:t>;</w:t>
      </w:r>
    </w:p>
    <w:p w14:paraId="2A93478B" w14:textId="60ED6AFB" w:rsidR="00992B32" w:rsidRDefault="00992B32" w:rsidP="00730E8E">
      <w:pPr>
        <w:pStyle w:val="MRheading3"/>
        <w:spacing w:line="240" w:lineRule="auto"/>
      </w:pPr>
      <w:r>
        <w:t>UK Home Office - Proscribed terrorist groups or organisations</w:t>
      </w:r>
      <w:r w:rsidR="00165A51">
        <w:t>;</w:t>
      </w:r>
    </w:p>
    <w:p w14:paraId="6F2C6C85" w14:textId="7696B4B9" w:rsidR="00992B32" w:rsidRDefault="00992B32" w:rsidP="00730E8E">
      <w:pPr>
        <w:pStyle w:val="MRheading3"/>
        <w:spacing w:line="240" w:lineRule="auto"/>
      </w:pPr>
      <w:r>
        <w:t>European Union - Consolidated list of sanctions</w:t>
      </w:r>
      <w:r w:rsidR="00165A51">
        <w:t>;</w:t>
      </w:r>
    </w:p>
    <w:p w14:paraId="164C2008" w14:textId="08C554C5" w:rsidR="00992B32" w:rsidRDefault="00992B32" w:rsidP="00730E8E">
      <w:pPr>
        <w:pStyle w:val="MRheading3"/>
        <w:spacing w:line="240" w:lineRule="auto"/>
      </w:pPr>
      <w:r>
        <w:t>United Nations - United Nations Security Council Sanctions List</w:t>
      </w:r>
      <w:r w:rsidR="00165A51">
        <w:t>; and</w:t>
      </w:r>
    </w:p>
    <w:p w14:paraId="40964E9B" w14:textId="7E544DE5" w:rsidR="00992B32" w:rsidRDefault="00992B32" w:rsidP="00730E8E">
      <w:pPr>
        <w:pStyle w:val="MRheading3"/>
        <w:spacing w:line="240" w:lineRule="auto"/>
      </w:pPr>
      <w:r>
        <w:t>World Bank - World Bank Listing of Ineligible Firms &amp; Individuals.</w:t>
      </w:r>
    </w:p>
    <w:p w14:paraId="54B27ADB" w14:textId="30565172" w:rsidR="009A6C89" w:rsidRDefault="009A6C89">
      <w:pPr>
        <w:pStyle w:val="MRheading2"/>
        <w:spacing w:line="240" w:lineRule="auto"/>
      </w:pPr>
      <w:r w:rsidRPr="00211551">
        <w:t xml:space="preserve">The </w:t>
      </w:r>
      <w:r w:rsidR="00632356">
        <w:t>Lead Partner</w:t>
      </w:r>
      <w:r w:rsidRPr="00211551">
        <w:t xml:space="preserve"> must seek permission from </w:t>
      </w:r>
      <w:r>
        <w:t xml:space="preserve">THET </w:t>
      </w:r>
      <w:r w:rsidRPr="00211551">
        <w:t xml:space="preserve">prior to any proposed expenditure </w:t>
      </w:r>
      <w:r>
        <w:t xml:space="preserve">for </w:t>
      </w:r>
      <w:r w:rsidRPr="00211551">
        <w:t xml:space="preserve">marketing, advertising, communications and consultancy, either in connection with, or using the Grant, under this Agreement. A complete list of the controlled activities can be found at </w:t>
      </w:r>
      <w:hyperlink r:id="rId8" w:history="1">
        <w:r w:rsidRPr="00211551">
          <w:rPr>
            <w:rStyle w:val="Hyperlink"/>
          </w:rPr>
          <w:t>https://www.gov.uk/government/publications/cabinet-office-controls</w:t>
        </w:r>
      </w:hyperlink>
      <w:r w:rsidRPr="00211551">
        <w:t>.</w:t>
      </w:r>
      <w:r>
        <w:t xml:space="preserve"> </w:t>
      </w:r>
      <w:r w:rsidRPr="00CC1746">
        <w:t xml:space="preserve">The </w:t>
      </w:r>
      <w:r w:rsidR="00632356">
        <w:t>Lead Partner</w:t>
      </w:r>
      <w:r w:rsidRPr="00CC1746">
        <w:t xml:space="preserve"> </w:t>
      </w:r>
      <w:r>
        <w:t xml:space="preserve">shall </w:t>
      </w:r>
      <w:r w:rsidRPr="00CC1746">
        <w:t>provide evidence that any marketing, advertising, communications and consultancy expenditure carried out in connection with, or using the Grant will deliver measurable outcomes that meet government objectives and can secure value for money.</w:t>
      </w:r>
    </w:p>
    <w:p w14:paraId="44D27383" w14:textId="080A041A" w:rsidR="004E7073" w:rsidRDefault="004E7073">
      <w:pPr>
        <w:pStyle w:val="MRheading2"/>
        <w:spacing w:line="240" w:lineRule="auto"/>
      </w:pPr>
      <w:r>
        <w:lastRenderedPageBreak/>
        <w:t>The Grant</w:t>
      </w:r>
      <w:r w:rsidRPr="00D67AEC">
        <w:t xml:space="preserve"> cannot be used to fund any project specific insurance premiums intended to cover medical expenses, injury or disablement, and death unless, by exception, explicitly approved by </w:t>
      </w:r>
      <w:r>
        <w:t xml:space="preserve">THET </w:t>
      </w:r>
      <w:r w:rsidRPr="00D67AEC">
        <w:t>in writing in advance</w:t>
      </w:r>
      <w:r>
        <w:t>.</w:t>
      </w:r>
    </w:p>
    <w:p w14:paraId="034C128B" w14:textId="23F94C7A" w:rsidR="00E2632F" w:rsidRDefault="39AC3AE4">
      <w:pPr>
        <w:pStyle w:val="MRheading2"/>
        <w:spacing w:line="240" w:lineRule="auto"/>
      </w:pPr>
      <w:r>
        <w:t>The Grant must be used to promote the agreed project objectives with ODA eligible countries as outlined in the OECD Development Co-Operation Directorate list, in accordance with parag</w:t>
      </w:r>
      <w:r w:rsidR="06F059B6">
        <w:t>raph</w:t>
      </w:r>
      <w:r>
        <w:t xml:space="preserve"> </w:t>
      </w:r>
      <w:r w:rsidR="00E2632F">
        <w:fldChar w:fldCharType="begin"/>
      </w:r>
      <w:r w:rsidR="00E2632F">
        <w:instrText xml:space="preserve"> REF _Ref125108519 \r \h </w:instrText>
      </w:r>
      <w:r w:rsidR="00E2632F">
        <w:fldChar w:fldCharType="separate"/>
      </w:r>
      <w:r w:rsidR="006B5F2E">
        <w:t>4</w:t>
      </w:r>
      <w:r w:rsidR="00E2632F">
        <w:fldChar w:fldCharType="end"/>
      </w:r>
      <w:r w:rsidR="06F059B6">
        <w:t xml:space="preserve"> (Official Development Assistance (ODA)).</w:t>
      </w:r>
    </w:p>
    <w:p w14:paraId="01A9282D" w14:textId="24ECEC05" w:rsidR="005015FE" w:rsidRPr="007700F3" w:rsidRDefault="00EA4FBE" w:rsidP="007700F3">
      <w:pPr>
        <w:pStyle w:val="MRheading1"/>
        <w:spacing w:line="240" w:lineRule="auto"/>
        <w:jc w:val="left"/>
        <w:rPr>
          <w:color w:val="000000"/>
        </w:rPr>
      </w:pPr>
      <w:bookmarkStart w:id="17" w:name="_Ref125108519"/>
      <w:bookmarkStart w:id="18" w:name="_Toc123833020"/>
      <w:bookmarkStart w:id="19" w:name="_Ref319072298"/>
      <w:r w:rsidRPr="00D67AEC">
        <w:t>Official Development Assistance (</w:t>
      </w:r>
      <w:r w:rsidR="00360C6B">
        <w:t>ODA</w:t>
      </w:r>
      <w:r w:rsidR="005015FE">
        <w:rPr>
          <w:color w:val="000000"/>
        </w:rPr>
        <w:t>)</w:t>
      </w:r>
      <w:bookmarkEnd w:id="17"/>
      <w:r w:rsidR="005015FE">
        <w:rPr>
          <w:color w:val="000000"/>
        </w:rPr>
        <w:br/>
      </w:r>
      <w:bookmarkEnd w:id="18"/>
    </w:p>
    <w:p w14:paraId="4846A2CD" w14:textId="671D7F98" w:rsidR="00EA4FBE" w:rsidRPr="00D67AEC" w:rsidRDefault="00EA4FBE">
      <w:pPr>
        <w:pStyle w:val="MRheading2"/>
        <w:spacing w:before="0" w:after="240" w:line="240" w:lineRule="auto"/>
        <w:rPr>
          <w:color w:val="000000"/>
        </w:rPr>
      </w:pPr>
      <w:r w:rsidRPr="00D67AEC">
        <w:t xml:space="preserve">The </w:t>
      </w:r>
      <w:r w:rsidR="00360C6B">
        <w:t>Lead Partner</w:t>
      </w:r>
      <w:r w:rsidRPr="00D67AEC">
        <w:t xml:space="preserve"> acknowledges that it is </w:t>
      </w:r>
      <w:r w:rsidR="004828AA">
        <w:t>DHSC’s and</w:t>
      </w:r>
      <w:r w:rsidR="004828AA" w:rsidRPr="00D67AEC">
        <w:t xml:space="preserve"> </w:t>
      </w:r>
      <w:r w:rsidR="00360C6B">
        <w:t>THET’s</w:t>
      </w:r>
      <w:r w:rsidRPr="00D67AEC">
        <w:t xml:space="preserve"> intention that all monies paid to the </w:t>
      </w:r>
      <w:r w:rsidR="006E172B">
        <w:t>Lead Partner</w:t>
      </w:r>
      <w:r w:rsidRPr="00D67AEC">
        <w:t xml:space="preserve"> </w:t>
      </w:r>
      <w:r w:rsidR="00317C74">
        <w:t xml:space="preserve">under this Agreement </w:t>
      </w:r>
      <w:r w:rsidRPr="00D67AEC">
        <w:t>will be properly categorised as ODA by the OECD.</w:t>
      </w:r>
    </w:p>
    <w:p w14:paraId="58E07394" w14:textId="2BD3DF43" w:rsidR="00EA4FBE" w:rsidRPr="00D67AEC" w:rsidRDefault="00EA4FBE">
      <w:pPr>
        <w:pStyle w:val="MRheading2"/>
        <w:spacing w:before="0" w:after="240" w:line="240" w:lineRule="auto"/>
        <w:rPr>
          <w:color w:val="000000"/>
        </w:rPr>
      </w:pPr>
      <w:r w:rsidRPr="00D67AEC">
        <w:t xml:space="preserve">The </w:t>
      </w:r>
      <w:r w:rsidR="00360C6B">
        <w:t>Lead Partner</w:t>
      </w:r>
      <w:r w:rsidRPr="00D67AEC">
        <w:t xml:space="preserve"> shall undertake reasonable endeavours to ensure that all monies paid to the </w:t>
      </w:r>
      <w:r w:rsidR="00360C6B">
        <w:t>Lead Partner</w:t>
      </w:r>
      <w:r w:rsidR="00A6193C">
        <w:t xml:space="preserve"> pursuant to this Agreement</w:t>
      </w:r>
      <w:r w:rsidRPr="00D67AEC">
        <w:t xml:space="preserve"> can properly be categorised as ODA by the OECD.</w:t>
      </w:r>
    </w:p>
    <w:p w14:paraId="35BEDE31" w14:textId="206475FE" w:rsidR="00EA4FBE" w:rsidRPr="00D67AEC" w:rsidRDefault="00EA4FBE">
      <w:pPr>
        <w:pStyle w:val="MRheading2"/>
        <w:spacing w:before="0" w:after="240" w:line="240" w:lineRule="auto"/>
        <w:rPr>
          <w:color w:val="000000"/>
        </w:rPr>
      </w:pPr>
      <w:r w:rsidRPr="00D67AEC">
        <w:t xml:space="preserve">The </w:t>
      </w:r>
      <w:r w:rsidR="00360C6B">
        <w:t>Lead Partner</w:t>
      </w:r>
      <w:r w:rsidRPr="00D67AEC">
        <w:t xml:space="preserve"> shall notify the </w:t>
      </w:r>
      <w:r w:rsidR="00360C6B">
        <w:t>THET</w:t>
      </w:r>
      <w:r w:rsidRPr="00D67AEC">
        <w:t xml:space="preserve"> of any concern it has that monies paid to the </w:t>
      </w:r>
      <w:r w:rsidR="00360C6B">
        <w:t>Lead Partner</w:t>
      </w:r>
      <w:r w:rsidR="008A57F9">
        <w:t xml:space="preserve"> pursuant to this Agreement</w:t>
      </w:r>
      <w:r w:rsidRPr="00D67AEC">
        <w:t xml:space="preserve"> cannot or may not be properly categorised as ODA by the OECD as soon as reasonably practical.</w:t>
      </w:r>
    </w:p>
    <w:p w14:paraId="3B341969" w14:textId="61418647" w:rsidR="00EA4FBE" w:rsidRDefault="00EA4FBE">
      <w:pPr>
        <w:pStyle w:val="MRheading2"/>
        <w:spacing w:before="0" w:after="240" w:line="240" w:lineRule="auto"/>
      </w:pPr>
      <w:r w:rsidRPr="00D67AEC">
        <w:t xml:space="preserve">If, as a consequence of breach or negligent performance or non-performance of this </w:t>
      </w:r>
      <w:r w:rsidR="008A57F9">
        <w:t>A</w:t>
      </w:r>
      <w:r w:rsidRPr="00D67AEC">
        <w:t xml:space="preserve">greement, </w:t>
      </w:r>
      <w:r w:rsidR="008A57F9">
        <w:t xml:space="preserve">Grant </w:t>
      </w:r>
      <w:r w:rsidRPr="00D67AEC">
        <w:t xml:space="preserve">monies provided to the </w:t>
      </w:r>
      <w:r w:rsidR="00360C6B">
        <w:t>Lead Partner</w:t>
      </w:r>
      <w:r w:rsidRPr="00D67AEC">
        <w:t xml:space="preserve"> are not classified as ODA by OECD, the </w:t>
      </w:r>
      <w:r w:rsidR="0098070C">
        <w:t>Lead Partner</w:t>
      </w:r>
      <w:r w:rsidRPr="00D67AEC">
        <w:t xml:space="preserve"> shall repay to </w:t>
      </w:r>
      <w:r w:rsidR="00360C6B">
        <w:t>THET</w:t>
      </w:r>
      <w:r w:rsidRPr="00D67AEC">
        <w:t xml:space="preserve"> a sum equal to the amount which the OECD determines is not </w:t>
      </w:r>
      <w:r w:rsidR="008A57F9">
        <w:t xml:space="preserve">categorised as </w:t>
      </w:r>
      <w:r w:rsidRPr="00D67AEC">
        <w:t>ODA</w:t>
      </w:r>
      <w:r w:rsidR="003749B1">
        <w:t>.</w:t>
      </w:r>
    </w:p>
    <w:p w14:paraId="59251BBE" w14:textId="0B684BE4" w:rsidR="00EE56A7" w:rsidRDefault="00992B32">
      <w:pPr>
        <w:pStyle w:val="MRheading1"/>
        <w:spacing w:line="240" w:lineRule="auto"/>
      </w:pPr>
      <w:r>
        <w:t xml:space="preserve">Accounts, </w:t>
      </w:r>
      <w:r w:rsidR="00EE56A7" w:rsidRPr="005C5086">
        <w:t>Records</w:t>
      </w:r>
      <w:bookmarkEnd w:id="19"/>
      <w:r>
        <w:t>, Assets Inventory</w:t>
      </w:r>
      <w:r w:rsidR="00427326">
        <w:t xml:space="preserve"> and Audit</w:t>
      </w:r>
    </w:p>
    <w:p w14:paraId="468503D3" w14:textId="77777777" w:rsidR="000C4A50" w:rsidRPr="00730E8E" w:rsidRDefault="00EE56A7">
      <w:pPr>
        <w:pStyle w:val="MRheading2"/>
        <w:spacing w:line="240" w:lineRule="auto"/>
      </w:pPr>
      <w:r>
        <w:rPr>
          <w:rFonts w:cs="Arial"/>
          <w:szCs w:val="22"/>
        </w:rPr>
        <w:t>T</w:t>
      </w:r>
      <w:r w:rsidRPr="00AD5A65">
        <w:rPr>
          <w:rFonts w:cs="Arial"/>
          <w:szCs w:val="22"/>
        </w:rPr>
        <w:t xml:space="preserve">he </w:t>
      </w:r>
      <w:r w:rsidR="00632356">
        <w:rPr>
          <w:rFonts w:cs="Arial"/>
          <w:szCs w:val="22"/>
        </w:rPr>
        <w:t>Lead Partner</w:t>
      </w:r>
      <w:r w:rsidRPr="00AD5A65">
        <w:rPr>
          <w:rFonts w:cs="Arial"/>
          <w:szCs w:val="22"/>
        </w:rPr>
        <w:t xml:space="preserve"> shall</w:t>
      </w:r>
      <w:r w:rsidR="00875AE5">
        <w:rPr>
          <w:rFonts w:cs="Arial"/>
          <w:szCs w:val="22"/>
        </w:rPr>
        <w:t xml:space="preserve"> at all times</w:t>
      </w:r>
      <w:r w:rsidRPr="00AD5A65">
        <w:rPr>
          <w:rFonts w:cs="Arial"/>
          <w:szCs w:val="22"/>
        </w:rPr>
        <w:t xml:space="preserve"> keep separate, </w:t>
      </w:r>
      <w:r w:rsidR="00875AE5">
        <w:rPr>
          <w:rFonts w:cs="Arial"/>
          <w:szCs w:val="22"/>
        </w:rPr>
        <w:t xml:space="preserve">detailed, </w:t>
      </w:r>
      <w:r w:rsidRPr="00AD5A65">
        <w:rPr>
          <w:rFonts w:cs="Arial"/>
          <w:szCs w:val="22"/>
        </w:rPr>
        <w:t>accurate and up-to-date accounts and records of</w:t>
      </w:r>
      <w:r w:rsidR="000C4A50">
        <w:rPr>
          <w:rFonts w:cs="Arial"/>
          <w:szCs w:val="22"/>
        </w:rPr>
        <w:t>:</w:t>
      </w:r>
    </w:p>
    <w:p w14:paraId="5C12BB8C" w14:textId="2085B4DA" w:rsidR="003F11AF" w:rsidRDefault="00EE56A7" w:rsidP="003F11AF">
      <w:pPr>
        <w:pStyle w:val="MRheading3"/>
        <w:spacing w:line="240" w:lineRule="auto"/>
      </w:pPr>
      <w:r w:rsidRPr="00AD5A65">
        <w:t>the receipt</w:t>
      </w:r>
      <w:r w:rsidR="00F33496">
        <w:t>,</w:t>
      </w:r>
      <w:r w:rsidRPr="00AD5A65">
        <w:t xml:space="preserve"> </w:t>
      </w:r>
      <w:r w:rsidR="000C4A50" w:rsidRPr="000C4A50">
        <w:t xml:space="preserve">interest received on </w:t>
      </w:r>
      <w:r w:rsidRPr="00AD5A65">
        <w:t xml:space="preserve">and expenditure of </w:t>
      </w:r>
      <w:r>
        <w:t>all</w:t>
      </w:r>
      <w:r w:rsidRPr="00AD5A65">
        <w:t xml:space="preserve"> Grant monies received by it</w:t>
      </w:r>
      <w:r>
        <w:t xml:space="preserve"> under this Agreement</w:t>
      </w:r>
      <w:r w:rsidR="003F11AF">
        <w:t>; and</w:t>
      </w:r>
    </w:p>
    <w:p w14:paraId="7FA61F29" w14:textId="6D23087C" w:rsidR="00EE56A7" w:rsidRPr="005C5086" w:rsidRDefault="00EB099A" w:rsidP="003F11AF">
      <w:pPr>
        <w:pStyle w:val="MRheading3"/>
        <w:spacing w:line="240" w:lineRule="auto"/>
      </w:pPr>
      <w:r w:rsidRPr="00EB099A">
        <w:t>any income generated from the Funded Activities</w:t>
      </w:r>
      <w:r>
        <w:t>.</w:t>
      </w:r>
    </w:p>
    <w:p w14:paraId="2306719D" w14:textId="48FBD26A" w:rsidR="00EE56A7" w:rsidRPr="00181EEE" w:rsidRDefault="00EE56A7">
      <w:pPr>
        <w:pStyle w:val="MRheading2"/>
        <w:spacing w:line="240" w:lineRule="auto"/>
      </w:pPr>
      <w:r w:rsidRPr="00AD5A65">
        <w:rPr>
          <w:rFonts w:cs="Arial"/>
          <w:szCs w:val="22"/>
        </w:rPr>
        <w:t xml:space="preserve">The </w:t>
      </w:r>
      <w:r w:rsidR="00632356">
        <w:rPr>
          <w:rFonts w:cs="Arial"/>
          <w:szCs w:val="22"/>
        </w:rPr>
        <w:t>Lead Partner</w:t>
      </w:r>
      <w:r w:rsidRPr="00AD5A65">
        <w:rPr>
          <w:rFonts w:cs="Arial"/>
          <w:szCs w:val="22"/>
        </w:rPr>
        <w:t xml:space="preserve"> shall keep</w:t>
      </w:r>
      <w:r w:rsidR="00C7055C">
        <w:rPr>
          <w:rFonts w:cs="Arial"/>
          <w:szCs w:val="22"/>
        </w:rPr>
        <w:t xml:space="preserve"> all accounting records, including</w:t>
      </w:r>
      <w:r w:rsidRPr="00AD5A65">
        <w:rPr>
          <w:rFonts w:cs="Arial"/>
          <w:szCs w:val="22"/>
        </w:rPr>
        <w:t xml:space="preserve"> all invoices, receipts, and accounts and any other relevant documents relating to the expenditure of the Grant </w:t>
      </w:r>
      <w:r>
        <w:rPr>
          <w:rFonts w:cs="Arial"/>
          <w:szCs w:val="22"/>
        </w:rPr>
        <w:t xml:space="preserve">for a period of at least </w:t>
      </w:r>
      <w:r w:rsidR="00881D3A">
        <w:rPr>
          <w:rFonts w:cs="Arial"/>
          <w:szCs w:val="22"/>
        </w:rPr>
        <w:t xml:space="preserve">seven </w:t>
      </w:r>
      <w:r>
        <w:rPr>
          <w:rFonts w:cs="Arial"/>
          <w:szCs w:val="22"/>
        </w:rPr>
        <w:t>(</w:t>
      </w:r>
      <w:r w:rsidR="00881D3A">
        <w:rPr>
          <w:rFonts w:cs="Arial"/>
          <w:szCs w:val="22"/>
        </w:rPr>
        <w:t>7</w:t>
      </w:r>
      <w:r>
        <w:rPr>
          <w:rFonts w:cs="Arial"/>
          <w:szCs w:val="22"/>
        </w:rPr>
        <w:t xml:space="preserve">) years </w:t>
      </w:r>
      <w:r w:rsidR="00881D3A" w:rsidRPr="00AD5A65">
        <w:rPr>
          <w:rFonts w:cs="Arial"/>
          <w:szCs w:val="22"/>
        </w:rPr>
        <w:t>following receipt of any</w:t>
      </w:r>
      <w:r w:rsidR="00834B2C">
        <w:rPr>
          <w:rFonts w:cs="Arial"/>
          <w:szCs w:val="22"/>
        </w:rPr>
        <w:t xml:space="preserve"> portion of the</w:t>
      </w:r>
      <w:r w:rsidR="00881D3A" w:rsidRPr="00AD5A65">
        <w:rPr>
          <w:rFonts w:cs="Arial"/>
          <w:szCs w:val="22"/>
        </w:rPr>
        <w:t xml:space="preserve"> Grant monies </w:t>
      </w:r>
      <w:r w:rsidR="00834B2C">
        <w:rPr>
          <w:rFonts w:cs="Arial"/>
          <w:szCs w:val="22"/>
        </w:rPr>
        <w:t xml:space="preserve">to which such information relates </w:t>
      </w:r>
      <w:r>
        <w:rPr>
          <w:rFonts w:cs="Arial"/>
          <w:szCs w:val="22"/>
        </w:rPr>
        <w:t xml:space="preserve">or any other period as may be required by </w:t>
      </w:r>
      <w:r w:rsidR="006D0523">
        <w:rPr>
          <w:rFonts w:cs="Arial"/>
          <w:szCs w:val="22"/>
        </w:rPr>
        <w:t xml:space="preserve">THET or </w:t>
      </w:r>
      <w:r w:rsidR="00B76D2C">
        <w:rPr>
          <w:rFonts w:cs="Arial"/>
          <w:szCs w:val="22"/>
        </w:rPr>
        <w:t>DHSC</w:t>
      </w:r>
      <w:r>
        <w:rPr>
          <w:rFonts w:cs="Arial"/>
          <w:szCs w:val="22"/>
        </w:rPr>
        <w:t xml:space="preserve"> and notified to the </w:t>
      </w:r>
      <w:r w:rsidR="00632356">
        <w:rPr>
          <w:rFonts w:cs="Arial"/>
          <w:szCs w:val="22"/>
        </w:rPr>
        <w:t>Lead Partner</w:t>
      </w:r>
      <w:r w:rsidR="006D0523">
        <w:rPr>
          <w:rFonts w:cs="Arial"/>
          <w:szCs w:val="22"/>
        </w:rPr>
        <w:t xml:space="preserve"> by THET or DHSC</w:t>
      </w:r>
      <w:r>
        <w:rPr>
          <w:rFonts w:cs="Arial"/>
          <w:szCs w:val="22"/>
        </w:rPr>
        <w:t xml:space="preserve"> from time to time</w:t>
      </w:r>
      <w:r w:rsidRPr="00AD5A65">
        <w:rPr>
          <w:rFonts w:cs="Arial"/>
          <w:szCs w:val="22"/>
        </w:rPr>
        <w:t xml:space="preserve">. </w:t>
      </w:r>
      <w:r w:rsidR="00834B2C">
        <w:rPr>
          <w:rFonts w:cs="Arial"/>
          <w:szCs w:val="22"/>
        </w:rPr>
        <w:t>A</w:t>
      </w:r>
      <w:r w:rsidR="00834B2C" w:rsidRPr="00AD5A65">
        <w:rPr>
          <w:rFonts w:cs="Arial"/>
          <w:szCs w:val="22"/>
        </w:rPr>
        <w:t>t THET's request</w:t>
      </w:r>
      <w:r w:rsidR="00834B2C">
        <w:rPr>
          <w:rFonts w:cs="Arial"/>
          <w:szCs w:val="22"/>
        </w:rPr>
        <w:t xml:space="preserve">, </w:t>
      </w:r>
      <w:r w:rsidRPr="00AD5A65">
        <w:rPr>
          <w:rFonts w:cs="Arial"/>
          <w:szCs w:val="22"/>
        </w:rPr>
        <w:t xml:space="preserve">THET </w:t>
      </w:r>
      <w:r>
        <w:rPr>
          <w:rFonts w:cs="Arial"/>
          <w:szCs w:val="22"/>
        </w:rPr>
        <w:t xml:space="preserve">and </w:t>
      </w:r>
      <w:r w:rsidR="00B76D2C">
        <w:rPr>
          <w:rFonts w:cs="Arial"/>
          <w:szCs w:val="22"/>
        </w:rPr>
        <w:t>DHSC</w:t>
      </w:r>
      <w:r>
        <w:rPr>
          <w:rFonts w:cs="Arial"/>
          <w:szCs w:val="22"/>
        </w:rPr>
        <w:t xml:space="preserve"> </w:t>
      </w:r>
      <w:r w:rsidRPr="00AD5A65">
        <w:rPr>
          <w:rFonts w:cs="Arial"/>
          <w:szCs w:val="22"/>
        </w:rPr>
        <w:t xml:space="preserve">shall have the right to review, </w:t>
      </w:r>
      <w:r w:rsidR="00834B2C">
        <w:rPr>
          <w:rFonts w:cs="Arial"/>
          <w:szCs w:val="22"/>
        </w:rPr>
        <w:t xml:space="preserve">and the </w:t>
      </w:r>
      <w:r w:rsidR="00632356">
        <w:rPr>
          <w:rFonts w:cs="Arial"/>
          <w:szCs w:val="22"/>
        </w:rPr>
        <w:t>Lead Partner</w:t>
      </w:r>
      <w:r w:rsidR="00834B2C">
        <w:rPr>
          <w:rFonts w:cs="Arial"/>
          <w:szCs w:val="22"/>
        </w:rPr>
        <w:t xml:space="preserve"> shall promptly provide access to</w:t>
      </w:r>
      <w:r w:rsidRPr="00AD5A65">
        <w:rPr>
          <w:rFonts w:cs="Arial"/>
          <w:szCs w:val="22"/>
        </w:rPr>
        <w:t xml:space="preserve">, the </w:t>
      </w:r>
      <w:r w:rsidR="00632356">
        <w:rPr>
          <w:rFonts w:cs="Arial"/>
          <w:szCs w:val="22"/>
        </w:rPr>
        <w:t>Lead Partner</w:t>
      </w:r>
      <w:r w:rsidRPr="00AD5A65">
        <w:rPr>
          <w:rFonts w:cs="Arial"/>
          <w:szCs w:val="22"/>
        </w:rPr>
        <w:t>'s accounts and records that relate to the expenditure of the Grant</w:t>
      </w:r>
      <w:r w:rsidR="00834B2C">
        <w:rPr>
          <w:rFonts w:cs="Arial"/>
          <w:szCs w:val="22"/>
        </w:rPr>
        <w:t>,</w:t>
      </w:r>
      <w:r w:rsidRPr="00AD5A65">
        <w:rPr>
          <w:rFonts w:cs="Arial"/>
          <w:szCs w:val="22"/>
        </w:rPr>
        <w:t xml:space="preserve"> and </w:t>
      </w:r>
      <w:r w:rsidR="00834B2C" w:rsidRPr="00AD5A65">
        <w:rPr>
          <w:rFonts w:cs="Arial"/>
          <w:szCs w:val="22"/>
        </w:rPr>
        <w:t xml:space="preserve">THET </w:t>
      </w:r>
      <w:r w:rsidR="00834B2C">
        <w:rPr>
          <w:rFonts w:cs="Arial"/>
          <w:szCs w:val="22"/>
        </w:rPr>
        <w:t xml:space="preserve">and DHSC </w:t>
      </w:r>
      <w:r w:rsidRPr="00AD5A65">
        <w:rPr>
          <w:rFonts w:cs="Arial"/>
          <w:szCs w:val="22"/>
        </w:rPr>
        <w:t>shall have the right to take copies of such accounts and records.</w:t>
      </w:r>
    </w:p>
    <w:p w14:paraId="4941687B" w14:textId="12C2EE07" w:rsidR="00EE56A7" w:rsidRPr="005C5086" w:rsidRDefault="00EE56A7" w:rsidP="0095685B">
      <w:pPr>
        <w:pStyle w:val="MRheading2"/>
        <w:spacing w:line="240" w:lineRule="auto"/>
      </w:pPr>
      <w:r>
        <w:rPr>
          <w:rFonts w:cs="Arial"/>
          <w:szCs w:val="22"/>
        </w:rPr>
        <w:t xml:space="preserve">The </w:t>
      </w:r>
      <w:r w:rsidR="00632356">
        <w:rPr>
          <w:rFonts w:cs="Arial"/>
          <w:szCs w:val="22"/>
        </w:rPr>
        <w:t>Lead Partner</w:t>
      </w:r>
      <w:r>
        <w:rPr>
          <w:rFonts w:cs="Arial"/>
          <w:szCs w:val="22"/>
        </w:rPr>
        <w:t xml:space="preserve"> shall submit a full itemised list of expenditure with submission of the next </w:t>
      </w:r>
      <w:r w:rsidR="00BE7B24">
        <w:rPr>
          <w:rFonts w:cs="Arial"/>
          <w:szCs w:val="22"/>
        </w:rPr>
        <w:t>F</w:t>
      </w:r>
      <w:r>
        <w:rPr>
          <w:rFonts w:cs="Arial"/>
          <w:szCs w:val="22"/>
        </w:rPr>
        <w:t xml:space="preserve">inancial </w:t>
      </w:r>
      <w:r w:rsidR="00BE7B24">
        <w:rPr>
          <w:rFonts w:cs="Arial"/>
          <w:szCs w:val="22"/>
        </w:rPr>
        <w:t xml:space="preserve">Report </w:t>
      </w:r>
      <w:r>
        <w:rPr>
          <w:rFonts w:cs="Arial"/>
          <w:szCs w:val="22"/>
        </w:rPr>
        <w:t>due under paragraph</w:t>
      </w:r>
      <w:r w:rsidR="008C3FBA">
        <w:rPr>
          <w:rFonts w:cs="Arial"/>
          <w:szCs w:val="22"/>
        </w:rPr>
        <w:t xml:space="preserve"> </w:t>
      </w:r>
      <w:r w:rsidR="00085CAE">
        <w:rPr>
          <w:rFonts w:cs="Arial"/>
          <w:szCs w:val="22"/>
        </w:rPr>
        <w:fldChar w:fldCharType="begin"/>
      </w:r>
      <w:r w:rsidR="00085CAE">
        <w:rPr>
          <w:rFonts w:cs="Arial"/>
          <w:szCs w:val="22"/>
        </w:rPr>
        <w:instrText xml:space="preserve"> REF _Ref125098455 \r \h </w:instrText>
      </w:r>
      <w:r w:rsidR="00085CAE">
        <w:rPr>
          <w:rFonts w:cs="Arial"/>
          <w:szCs w:val="22"/>
        </w:rPr>
      </w:r>
      <w:r w:rsidR="00085CAE">
        <w:rPr>
          <w:rFonts w:cs="Arial"/>
          <w:szCs w:val="22"/>
        </w:rPr>
        <w:fldChar w:fldCharType="separate"/>
      </w:r>
      <w:r w:rsidR="006B5F2E">
        <w:rPr>
          <w:rFonts w:cs="Arial"/>
          <w:szCs w:val="22"/>
        </w:rPr>
        <w:t>5.4</w:t>
      </w:r>
      <w:r w:rsidR="00085CAE">
        <w:rPr>
          <w:rFonts w:cs="Arial"/>
          <w:szCs w:val="22"/>
        </w:rPr>
        <w:fldChar w:fldCharType="end"/>
      </w:r>
      <w:r w:rsidR="00923857">
        <w:rPr>
          <w:rFonts w:cs="Arial"/>
          <w:szCs w:val="22"/>
        </w:rPr>
        <w:t xml:space="preserve"> </w:t>
      </w:r>
      <w:r>
        <w:rPr>
          <w:rFonts w:cs="Arial"/>
          <w:szCs w:val="22"/>
        </w:rPr>
        <w:t xml:space="preserve">below after the date such expenditure was incurred. THET may (at its discretion) request receipt(s) to evidence any item of expenditure, such receipts to be provided within ten (10) days of request. </w:t>
      </w:r>
    </w:p>
    <w:p w14:paraId="06587752" w14:textId="37319C4F" w:rsidR="007A537E" w:rsidRDefault="687DF045">
      <w:pPr>
        <w:pStyle w:val="MRheading2"/>
        <w:spacing w:line="240" w:lineRule="auto"/>
      </w:pPr>
      <w:bookmarkStart w:id="20" w:name="_Ref127794053"/>
      <w:bookmarkStart w:id="21" w:name="_Ref125098455"/>
      <w:r>
        <w:lastRenderedPageBreak/>
        <w:t xml:space="preserve">The Lead Partner shall provide THET with a detailed financial report containing details of expenditure to date and an up-to-date budget in respect of its use of the Grant and delivery of the </w:t>
      </w:r>
      <w:r w:rsidR="4C574C7F">
        <w:t>GHWP</w:t>
      </w:r>
      <w:r>
        <w:t xml:space="preserve"> </w:t>
      </w:r>
      <w:r w:rsidR="06B8AAEF">
        <w:t xml:space="preserve">project </w:t>
      </w:r>
      <w:r>
        <w:t xml:space="preserve">every </w:t>
      </w:r>
      <w:r w:rsidR="003C00A7">
        <w:t>six</w:t>
      </w:r>
      <w:r w:rsidR="007E5E1E">
        <w:t xml:space="preserve"> </w:t>
      </w:r>
      <w:r>
        <w:t>(</w:t>
      </w:r>
      <w:r w:rsidR="003C00A7">
        <w:t>6</w:t>
      </w:r>
      <w:r>
        <w:t xml:space="preserve">) months during the Grant Period and in such format as </w:t>
      </w:r>
      <w:r w:rsidR="37194F15">
        <w:t>may be reasonably required by THET</w:t>
      </w:r>
      <w:r w:rsidR="58D5A3BC">
        <w:t xml:space="preserve"> (</w:t>
      </w:r>
      <w:r w:rsidR="4CD57991">
        <w:t>each such report a “</w:t>
      </w:r>
      <w:r w:rsidR="4CD57991" w:rsidRPr="7D6BE9DE">
        <w:rPr>
          <w:b/>
          <w:bCs/>
        </w:rPr>
        <w:t>Financial Report</w:t>
      </w:r>
      <w:r w:rsidR="4CD57991">
        <w:t>”)</w:t>
      </w:r>
      <w:r>
        <w:t xml:space="preserve">. The Lead Partner shall provide THET with each </w:t>
      </w:r>
      <w:r w:rsidR="4CD57991">
        <w:t>Financial Report</w:t>
      </w:r>
      <w:r>
        <w:t xml:space="preserve"> within fourteen (14) days of the last day of the </w:t>
      </w:r>
      <w:r w:rsidR="003C00A7">
        <w:t xml:space="preserve">six </w:t>
      </w:r>
      <w:r>
        <w:t>(</w:t>
      </w:r>
      <w:r w:rsidR="003C00A7">
        <w:t>6</w:t>
      </w:r>
      <w:r>
        <w:t>) month period to which it relates</w:t>
      </w:r>
      <w:r w:rsidR="5632622A">
        <w:t>.</w:t>
      </w:r>
      <w:bookmarkEnd w:id="20"/>
    </w:p>
    <w:p w14:paraId="6D52055B" w14:textId="574B7F1E" w:rsidR="00EE56A7" w:rsidRPr="005C5086" w:rsidRDefault="00EE56A7">
      <w:pPr>
        <w:pStyle w:val="MRheading2"/>
        <w:spacing w:line="240" w:lineRule="auto"/>
      </w:pPr>
      <w:bookmarkStart w:id="22" w:name="_Ref127455950"/>
      <w:r w:rsidRPr="00AD5A65">
        <w:rPr>
          <w:rFonts w:cs="Arial"/>
          <w:szCs w:val="22"/>
        </w:rPr>
        <w:t xml:space="preserve">The </w:t>
      </w:r>
      <w:r w:rsidR="00632356">
        <w:rPr>
          <w:rFonts w:cs="Arial"/>
          <w:szCs w:val="22"/>
        </w:rPr>
        <w:t>Lead Partner</w:t>
      </w:r>
      <w:r w:rsidRPr="00AD5A65">
        <w:rPr>
          <w:rFonts w:cs="Arial"/>
          <w:szCs w:val="22"/>
        </w:rPr>
        <w:t xml:space="preserve"> shall provide THET with a copy of its annual accounts within six mon</w:t>
      </w:r>
      <w:r>
        <w:rPr>
          <w:rFonts w:cs="Arial"/>
          <w:szCs w:val="22"/>
        </w:rPr>
        <w:t>ths (or such lesser period as TH</w:t>
      </w:r>
      <w:r w:rsidRPr="00AD5A65">
        <w:rPr>
          <w:rFonts w:cs="Arial"/>
          <w:szCs w:val="22"/>
        </w:rPr>
        <w:t>ET may reasonably require) of the end of the relevant financial year in respect of each year in which the Grant is paid.</w:t>
      </w:r>
      <w:bookmarkEnd w:id="21"/>
      <w:bookmarkEnd w:id="22"/>
    </w:p>
    <w:p w14:paraId="7EA4699E" w14:textId="645C258A" w:rsidR="00EE56A7" w:rsidRPr="00992B32" w:rsidRDefault="00EE56A7">
      <w:pPr>
        <w:pStyle w:val="MRheading2"/>
        <w:spacing w:line="240" w:lineRule="auto"/>
      </w:pPr>
      <w:r w:rsidRPr="00AD5A65">
        <w:rPr>
          <w:rFonts w:cs="Arial"/>
          <w:szCs w:val="22"/>
        </w:rPr>
        <w:t xml:space="preserve">The </w:t>
      </w:r>
      <w:r w:rsidR="00632356">
        <w:rPr>
          <w:rFonts w:cs="Arial"/>
          <w:szCs w:val="22"/>
        </w:rPr>
        <w:t>Lead Partner</w:t>
      </w:r>
      <w:r w:rsidRPr="00AD5A65">
        <w:rPr>
          <w:rFonts w:cs="Arial"/>
          <w:szCs w:val="22"/>
        </w:rPr>
        <w:t xml:space="preserve"> shall comply</w:t>
      </w:r>
      <w:r w:rsidR="00834B2C">
        <w:rPr>
          <w:rFonts w:cs="Arial"/>
          <w:szCs w:val="22"/>
        </w:rPr>
        <w:t>,</w:t>
      </w:r>
      <w:r w:rsidRPr="00AD5A65">
        <w:rPr>
          <w:rFonts w:cs="Arial"/>
          <w:szCs w:val="22"/>
        </w:rPr>
        <w:t xml:space="preserve"> and facilitate THET's compliance with</w:t>
      </w:r>
      <w:r w:rsidR="00834B2C">
        <w:rPr>
          <w:rFonts w:cs="Arial"/>
          <w:szCs w:val="22"/>
        </w:rPr>
        <w:t>,</w:t>
      </w:r>
      <w:r w:rsidRPr="00AD5A65">
        <w:rPr>
          <w:rFonts w:cs="Arial"/>
          <w:szCs w:val="22"/>
        </w:rPr>
        <w:t xml:space="preserve"> all statutory requirements as regards accounts, audit or </w:t>
      </w:r>
      <w:r>
        <w:rPr>
          <w:rFonts w:cs="Arial"/>
          <w:szCs w:val="22"/>
        </w:rPr>
        <w:t>examination</w:t>
      </w:r>
      <w:r w:rsidRPr="00AD5A65">
        <w:rPr>
          <w:rFonts w:cs="Arial"/>
          <w:szCs w:val="22"/>
        </w:rPr>
        <w:t xml:space="preserve"> of accounts, annual reports and annual returns applicable to itself and THET.</w:t>
      </w:r>
    </w:p>
    <w:p w14:paraId="4D2D38E3" w14:textId="55666312" w:rsidR="002F09C1" w:rsidRPr="00C90D78" w:rsidRDefault="002F09C1">
      <w:pPr>
        <w:pStyle w:val="MRheading2"/>
        <w:spacing w:line="240" w:lineRule="auto"/>
        <w:rPr>
          <w:rFonts w:cs="Arial"/>
        </w:rPr>
      </w:pPr>
      <w:bookmarkStart w:id="23" w:name="_Ref124867537"/>
      <w:r w:rsidRPr="114C4D3C">
        <w:rPr>
          <w:rFonts w:cs="Arial"/>
        </w:rPr>
        <w:t>THET considers any equipment and/or supplies purchased in part or fully from DHSC funds as project assets</w:t>
      </w:r>
      <w:r w:rsidR="00834B2C" w:rsidRPr="114C4D3C">
        <w:rPr>
          <w:rFonts w:cs="Arial"/>
        </w:rPr>
        <w:t xml:space="preserve"> (“</w:t>
      </w:r>
      <w:r w:rsidR="009C55D7" w:rsidRPr="00730E8E">
        <w:rPr>
          <w:rFonts w:cs="Arial"/>
          <w:b/>
          <w:bCs/>
        </w:rPr>
        <w:t>Programme Funded</w:t>
      </w:r>
      <w:r w:rsidR="009C55D7">
        <w:rPr>
          <w:rFonts w:cs="Arial"/>
          <w:b/>
          <w:bCs/>
        </w:rPr>
        <w:t xml:space="preserve"> </w:t>
      </w:r>
      <w:r w:rsidR="00834B2C" w:rsidRPr="00730E8E">
        <w:rPr>
          <w:rFonts w:cs="Arial"/>
          <w:b/>
          <w:bCs/>
        </w:rPr>
        <w:t>Assets</w:t>
      </w:r>
      <w:r w:rsidR="00834B2C" w:rsidRPr="114C4D3C">
        <w:rPr>
          <w:rFonts w:cs="Arial"/>
        </w:rPr>
        <w:t>”)</w:t>
      </w:r>
      <w:r w:rsidRPr="114C4D3C">
        <w:rPr>
          <w:rFonts w:cs="Arial"/>
        </w:rPr>
        <w:t xml:space="preserve"> if they have a useful life of more than one year; and either </w:t>
      </w:r>
      <w:r w:rsidR="00834B2C" w:rsidRPr="114C4D3C">
        <w:rPr>
          <w:rFonts w:cs="Arial"/>
        </w:rPr>
        <w:t>such equipment and/or supplies</w:t>
      </w:r>
      <w:r w:rsidR="005A2FA7">
        <w:rPr>
          <w:rFonts w:cs="Arial"/>
        </w:rPr>
        <w:t>:</w:t>
      </w:r>
      <w:r w:rsidR="00834B2C" w:rsidRPr="114C4D3C">
        <w:rPr>
          <w:rFonts w:cs="Arial"/>
        </w:rPr>
        <w:t xml:space="preserve"> </w:t>
      </w:r>
      <w:r w:rsidRPr="114C4D3C">
        <w:rPr>
          <w:rFonts w:cs="Arial"/>
        </w:rPr>
        <w:t xml:space="preserve">(1) </w:t>
      </w:r>
      <w:r w:rsidR="00834B2C" w:rsidRPr="114C4D3C">
        <w:rPr>
          <w:rFonts w:cs="Arial"/>
        </w:rPr>
        <w:t xml:space="preserve">have a </w:t>
      </w:r>
      <w:r w:rsidRPr="114C4D3C">
        <w:rPr>
          <w:rFonts w:cs="Arial"/>
        </w:rPr>
        <w:t>purchase price or development cost in excess of £500 or equivalent in local currency; or (2) is a group of lower value items (e.g. pharmaceutical products, food, relief packs, etc.) where the combined value is in excess of £500 or equivalent in local currency; or (3) can be considered an attractive item</w:t>
      </w:r>
      <w:r w:rsidR="00834B2C" w:rsidRPr="114C4D3C">
        <w:rPr>
          <w:rFonts w:cs="Arial"/>
        </w:rPr>
        <w:t xml:space="preserve"> </w:t>
      </w:r>
      <w:r w:rsidR="00834B2C" w:rsidRPr="00467726">
        <w:rPr>
          <w:rFonts w:cs="Arial"/>
        </w:rPr>
        <w:t>(</w:t>
      </w:r>
      <w:r w:rsidR="00834B2C" w:rsidRPr="00C97EC3">
        <w:rPr>
          <w:rFonts w:cs="Arial"/>
          <w:iCs/>
        </w:rPr>
        <w:t>as determined by THET, acting reasonably)</w:t>
      </w:r>
      <w:r w:rsidRPr="00C97EC3">
        <w:rPr>
          <w:rFonts w:cs="Arial"/>
          <w:iCs/>
        </w:rPr>
        <w:t xml:space="preserve"> regardless of cost (e.g. mobile phones, cameras, laptops, tablets, satellite phones, vehicles, etc.).</w:t>
      </w:r>
      <w:bookmarkEnd w:id="23"/>
    </w:p>
    <w:p w14:paraId="1F68AC34" w14:textId="0DA3168B" w:rsidR="00E02297" w:rsidRPr="002F09C1" w:rsidRDefault="00E02297">
      <w:pPr>
        <w:pStyle w:val="MRheading2"/>
        <w:spacing w:line="240" w:lineRule="auto"/>
        <w:rPr>
          <w:rFonts w:cs="Arial"/>
        </w:rPr>
      </w:pPr>
      <w:r w:rsidRPr="00D67AEC">
        <w:t>Assets purchased with Grant funding must only be used for delivery of the Funded Activities.</w:t>
      </w:r>
    </w:p>
    <w:p w14:paraId="07D6D201" w14:textId="19C23FB5" w:rsidR="002F09C1" w:rsidRPr="002F09C1" w:rsidRDefault="3D0E89AC"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and all other partners in the </w:t>
      </w:r>
      <w:r w:rsidR="4C574C7F" w:rsidRPr="7D6BE9DE">
        <w:rPr>
          <w:rFonts w:cs="Arial"/>
        </w:rPr>
        <w:t>GHWP</w:t>
      </w:r>
      <w:r w:rsidRPr="7D6BE9DE">
        <w:rPr>
          <w:rFonts w:cs="Arial"/>
        </w:rPr>
        <w:t xml:space="preserve"> project must not sell any Assets that have been totally or partly bought, restored, conserved (maintained or protected from damage) or improved with the Grant</w:t>
      </w:r>
      <w:r w:rsidR="0BD37C8E" w:rsidRPr="7D6BE9DE">
        <w:rPr>
          <w:rFonts w:cs="Arial"/>
        </w:rPr>
        <w:t>,</w:t>
      </w:r>
      <w:r w:rsidRPr="7D6BE9DE">
        <w:rPr>
          <w:rFonts w:cs="Arial"/>
        </w:rPr>
        <w:t xml:space="preserve"> unless:</w:t>
      </w:r>
    </w:p>
    <w:p w14:paraId="57432E67" w14:textId="77777777" w:rsidR="002F09C1" w:rsidRPr="002F09C1" w:rsidRDefault="002F09C1">
      <w:pPr>
        <w:pStyle w:val="MRheading3"/>
        <w:spacing w:line="240" w:lineRule="auto"/>
        <w:rPr>
          <w:rFonts w:cs="Arial"/>
          <w:szCs w:val="22"/>
        </w:rPr>
      </w:pPr>
      <w:r w:rsidRPr="002F09C1">
        <w:rPr>
          <w:rFonts w:cs="Arial"/>
          <w:szCs w:val="22"/>
        </w:rPr>
        <w:t>the Asset can be sold for its full current market value; and</w:t>
      </w:r>
    </w:p>
    <w:p w14:paraId="1832BE45" w14:textId="1C8557B0" w:rsidR="002F09C1" w:rsidRPr="002F09C1" w:rsidRDefault="002F09C1">
      <w:pPr>
        <w:pStyle w:val="MRheading3"/>
        <w:spacing w:line="240" w:lineRule="auto"/>
        <w:rPr>
          <w:rFonts w:cs="Arial"/>
          <w:szCs w:val="22"/>
        </w:rPr>
      </w:pPr>
      <w:r w:rsidRPr="002F09C1">
        <w:rPr>
          <w:rFonts w:cs="Arial"/>
          <w:szCs w:val="22"/>
        </w:rPr>
        <w:t xml:space="preserve">prior permission has been obtained from </w:t>
      </w:r>
      <w:r>
        <w:rPr>
          <w:rFonts w:cs="Arial"/>
          <w:szCs w:val="22"/>
        </w:rPr>
        <w:t>THET and DHSC</w:t>
      </w:r>
      <w:r w:rsidRPr="002F09C1">
        <w:rPr>
          <w:rFonts w:cs="Arial"/>
          <w:szCs w:val="22"/>
        </w:rPr>
        <w:t xml:space="preserve"> in writing.</w:t>
      </w:r>
    </w:p>
    <w:p w14:paraId="1686B142" w14:textId="4C8BEFDF" w:rsidR="002F09C1" w:rsidRPr="002F09C1" w:rsidRDefault="3D0E89AC"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and all other partners in the </w:t>
      </w:r>
      <w:r w:rsidR="4C574C7F" w:rsidRPr="7D6BE9DE">
        <w:rPr>
          <w:rFonts w:cs="Arial"/>
        </w:rPr>
        <w:t>GHWP</w:t>
      </w:r>
      <w:r w:rsidRPr="7D6BE9DE">
        <w:rPr>
          <w:rFonts w:cs="Arial"/>
        </w:rPr>
        <w:t xml:space="preserve"> project must not sell any Asset below market value without </w:t>
      </w:r>
      <w:r w:rsidR="4F097030" w:rsidRPr="7D6BE9DE">
        <w:rPr>
          <w:rFonts w:cs="Arial"/>
        </w:rPr>
        <w:t xml:space="preserve">the </w:t>
      </w:r>
      <w:r w:rsidRPr="7D6BE9DE">
        <w:rPr>
          <w:rFonts w:cs="Arial"/>
        </w:rPr>
        <w:t>prior written permission from THET and DHSC.</w:t>
      </w:r>
    </w:p>
    <w:p w14:paraId="7BA10E04" w14:textId="00E6E1E0" w:rsidR="002F09C1" w:rsidRDefault="002F09C1">
      <w:pPr>
        <w:pStyle w:val="MRheading2"/>
        <w:spacing w:line="240" w:lineRule="auto"/>
        <w:rPr>
          <w:rFonts w:cs="Arial"/>
          <w:szCs w:val="22"/>
        </w:rPr>
      </w:pPr>
      <w:r w:rsidRPr="002F09C1">
        <w:rPr>
          <w:rFonts w:cs="Arial"/>
          <w:szCs w:val="22"/>
        </w:rPr>
        <w:t xml:space="preserve">Any proceeds from the </w:t>
      </w:r>
      <w:r w:rsidR="00834B2C">
        <w:rPr>
          <w:rFonts w:cs="Arial"/>
          <w:szCs w:val="22"/>
        </w:rPr>
        <w:t>d</w:t>
      </w:r>
      <w:r w:rsidRPr="002F09C1">
        <w:rPr>
          <w:rFonts w:cs="Arial"/>
          <w:szCs w:val="22"/>
        </w:rPr>
        <w:t xml:space="preserve">isposal of any Asset will be surrendered to </w:t>
      </w:r>
      <w:r w:rsidR="00AE7E65">
        <w:rPr>
          <w:rFonts w:cs="Arial"/>
          <w:szCs w:val="22"/>
        </w:rPr>
        <w:t xml:space="preserve">THET or </w:t>
      </w:r>
      <w:r>
        <w:rPr>
          <w:rFonts w:cs="Arial"/>
          <w:szCs w:val="22"/>
        </w:rPr>
        <w:t>DHSC</w:t>
      </w:r>
      <w:r w:rsidRPr="002F09C1">
        <w:rPr>
          <w:rFonts w:cs="Arial"/>
          <w:szCs w:val="22"/>
        </w:rPr>
        <w:t xml:space="preserve"> in full, unless otherwise agreed in writing by </w:t>
      </w:r>
      <w:r>
        <w:rPr>
          <w:rFonts w:cs="Arial"/>
          <w:szCs w:val="22"/>
        </w:rPr>
        <w:t>DHSC</w:t>
      </w:r>
      <w:r w:rsidRPr="002F09C1">
        <w:rPr>
          <w:rFonts w:cs="Arial"/>
          <w:szCs w:val="22"/>
        </w:rPr>
        <w:t>.</w:t>
      </w:r>
    </w:p>
    <w:p w14:paraId="78F18AA3" w14:textId="47B2AEC8" w:rsidR="0084560E" w:rsidRPr="005F72E1" w:rsidRDefault="00854E9F">
      <w:pPr>
        <w:pStyle w:val="MRheading2"/>
        <w:spacing w:line="240" w:lineRule="auto"/>
        <w:rPr>
          <w:rFonts w:cs="Arial"/>
          <w:szCs w:val="22"/>
        </w:rPr>
      </w:pPr>
      <w:r w:rsidRPr="00D67AEC">
        <w:t xml:space="preserve">Where the Grant allows for capital spend, the </w:t>
      </w:r>
      <w:r w:rsidR="00E377B9">
        <w:t>Lead Partner</w:t>
      </w:r>
      <w:r w:rsidRPr="00D67AEC">
        <w:t xml:space="preserve"> must keep a register of Fixed Assets, including all land and building</w:t>
      </w:r>
      <w:r w:rsidR="003F11AF">
        <w:t>(s)</w:t>
      </w:r>
      <w:r w:rsidRPr="00D67AEC">
        <w:t xml:space="preserve"> acquired or improved with the Grant</w:t>
      </w:r>
      <w:r w:rsidR="00705449">
        <w:t>.</w:t>
      </w:r>
    </w:p>
    <w:p w14:paraId="68DFEA29" w14:textId="6CEFE841" w:rsidR="004652A7" w:rsidRPr="0084560E" w:rsidRDefault="00E377B9" w:rsidP="005F21EA">
      <w:pPr>
        <w:pStyle w:val="MRheading2"/>
        <w:spacing w:line="240" w:lineRule="auto"/>
        <w:rPr>
          <w:rFonts w:cs="Arial"/>
          <w:szCs w:val="22"/>
        </w:rPr>
      </w:pPr>
      <w:bookmarkStart w:id="24" w:name="_Ref124837880"/>
      <w:bookmarkStart w:id="25" w:name="_Ref124755926"/>
      <w:r w:rsidRPr="00D67AEC">
        <w:t xml:space="preserve">The </w:t>
      </w:r>
      <w:r>
        <w:t>Lead Partner</w:t>
      </w:r>
      <w:r w:rsidRPr="00D67AEC">
        <w:t xml:space="preserve"> will ensure that a physical check</w:t>
      </w:r>
      <w:r w:rsidR="00361D3A">
        <w:t>, and w</w:t>
      </w:r>
      <w:r w:rsidR="00361D3A" w:rsidRPr="00D67AEC">
        <w:t xml:space="preserve">here possible the </w:t>
      </w:r>
      <w:r w:rsidR="00361D3A">
        <w:t>Lead Partner</w:t>
      </w:r>
      <w:r w:rsidR="00361D3A" w:rsidRPr="00D67AEC">
        <w:t xml:space="preserve"> should undertake these checks directly</w:t>
      </w:r>
      <w:r w:rsidR="00361D3A">
        <w:t>,</w:t>
      </w:r>
      <w:r w:rsidRPr="00D67AEC">
        <w:t xml:space="preserve"> of all Fixed </w:t>
      </w:r>
      <w:r w:rsidR="0049426B">
        <w:t xml:space="preserve">Assets </w:t>
      </w:r>
      <w:r w:rsidRPr="00D67AEC">
        <w:t>and Programme Funded Assets takes place on at least an annual basis</w:t>
      </w:r>
      <w:r w:rsidR="00573F1F">
        <w:t xml:space="preserve"> and</w:t>
      </w:r>
      <w:r w:rsidRPr="00D67AEC">
        <w:t xml:space="preserve"> establish and maintain an inventory of all </w:t>
      </w:r>
      <w:r w:rsidR="0049426B">
        <w:t xml:space="preserve">Programme Funded </w:t>
      </w:r>
      <w:r w:rsidRPr="00D67AEC">
        <w:t>Assets</w:t>
      </w:r>
      <w:r w:rsidR="00ED1BCB">
        <w:t xml:space="preserve"> </w:t>
      </w:r>
      <w:r w:rsidR="00ED1BCB" w:rsidRPr="00ED1BCB">
        <w:t xml:space="preserve">(including, for the avoidance of doubt, any Fixed Assets) </w:t>
      </w:r>
      <w:r w:rsidR="00ED1BCB">
        <w:t>(the “</w:t>
      </w:r>
      <w:r w:rsidR="00ED1BCB" w:rsidRPr="0084560E">
        <w:rPr>
          <w:b/>
          <w:bCs/>
        </w:rPr>
        <w:t>Inventory”</w:t>
      </w:r>
      <w:r w:rsidR="004652A7">
        <w:t>)</w:t>
      </w:r>
      <w:r w:rsidRPr="00D67AEC">
        <w:t xml:space="preserve"> and provide </w:t>
      </w:r>
      <w:r w:rsidR="004652A7">
        <w:t>the Inventory</w:t>
      </w:r>
      <w:r w:rsidR="004652A7" w:rsidRPr="00D67AEC">
        <w:t xml:space="preserve"> </w:t>
      </w:r>
      <w:r w:rsidR="002F6F1D">
        <w:t>to</w:t>
      </w:r>
      <w:r w:rsidR="004652A7">
        <w:t>:</w:t>
      </w:r>
      <w:bookmarkEnd w:id="24"/>
    </w:p>
    <w:p w14:paraId="36ED3D1F" w14:textId="3320AF07" w:rsidR="00F95754" w:rsidRPr="00730E8E" w:rsidRDefault="002F6F1D" w:rsidP="00361D3A">
      <w:pPr>
        <w:pStyle w:val="MRheading3"/>
        <w:spacing w:line="240" w:lineRule="auto"/>
        <w:rPr>
          <w:rFonts w:cs="Arial"/>
          <w:szCs w:val="22"/>
        </w:rPr>
      </w:pPr>
      <w:r>
        <w:lastRenderedPageBreak/>
        <w:t>THET</w:t>
      </w:r>
      <w:r w:rsidR="00E377B9" w:rsidRPr="00D67AEC">
        <w:t>,</w:t>
      </w:r>
      <w:r w:rsidR="00F95754">
        <w:t xml:space="preserve"> annually, alongside its annual accounts</w:t>
      </w:r>
      <w:r w:rsidR="00CC07C7">
        <w:t xml:space="preserve"> delivered to </w:t>
      </w:r>
      <w:r w:rsidR="00226636">
        <w:t xml:space="preserve">THET </w:t>
      </w:r>
      <w:r w:rsidR="00CC07C7">
        <w:t xml:space="preserve">pursuant to paragraph </w:t>
      </w:r>
      <w:r w:rsidR="00897E6F">
        <w:fldChar w:fldCharType="begin"/>
      </w:r>
      <w:r w:rsidR="00897E6F">
        <w:instrText xml:space="preserve"> REF _Ref127455950 \r \h </w:instrText>
      </w:r>
      <w:r w:rsidR="00897E6F">
        <w:fldChar w:fldCharType="separate"/>
      </w:r>
      <w:r w:rsidR="006B5F2E">
        <w:t>5.5</w:t>
      </w:r>
      <w:r w:rsidR="00897E6F">
        <w:fldChar w:fldCharType="end"/>
      </w:r>
      <w:r w:rsidR="006F2185">
        <w:t xml:space="preserve">; </w:t>
      </w:r>
      <w:r w:rsidR="00E377B9" w:rsidRPr="00D67AEC">
        <w:t xml:space="preserve">and </w:t>
      </w:r>
    </w:p>
    <w:p w14:paraId="0E9C3DCB" w14:textId="75D2488C" w:rsidR="00F95754" w:rsidRPr="00730E8E" w:rsidRDefault="00F95754" w:rsidP="00361D3A">
      <w:pPr>
        <w:pStyle w:val="MRheading3"/>
        <w:spacing w:line="240" w:lineRule="auto"/>
        <w:rPr>
          <w:rFonts w:cs="Arial"/>
          <w:szCs w:val="22"/>
        </w:rPr>
      </w:pPr>
      <w:r>
        <w:t xml:space="preserve">THET and/or DHSC (as applicable) </w:t>
      </w:r>
      <w:r w:rsidR="00E377B9" w:rsidRPr="00D67AEC">
        <w:t xml:space="preserve">within </w:t>
      </w:r>
      <w:r w:rsidR="000E0CD9">
        <w:t>four (4)</w:t>
      </w:r>
      <w:r w:rsidR="00E377B9" w:rsidRPr="00D67AEC">
        <w:t xml:space="preserve"> Working Days of being requested to do so</w:t>
      </w:r>
      <w:r w:rsidR="00CC07C7">
        <w:t>.</w:t>
      </w:r>
    </w:p>
    <w:p w14:paraId="28F2EF1C" w14:textId="0E0B6EC0" w:rsidR="00C33D2C" w:rsidRPr="00D67AEC" w:rsidRDefault="00C33D2C" w:rsidP="00730E8E">
      <w:pPr>
        <w:pStyle w:val="MRheading2"/>
        <w:spacing w:line="240" w:lineRule="auto"/>
        <w:rPr>
          <w:color w:val="000000"/>
        </w:rPr>
      </w:pPr>
      <w:bookmarkStart w:id="26" w:name="_Ref124784243"/>
      <w:bookmarkEnd w:id="25"/>
      <w:r w:rsidRPr="00D67AEC">
        <w:t xml:space="preserve">For each entry in the </w:t>
      </w:r>
      <w:r w:rsidR="009007A5">
        <w:t>I</w:t>
      </w:r>
      <w:r w:rsidRPr="00D67AEC">
        <w:t>nventory the following particulars must be shown where appropriate:</w:t>
      </w:r>
      <w:bookmarkEnd w:id="26"/>
    </w:p>
    <w:p w14:paraId="0ACBD127" w14:textId="77777777" w:rsidR="00C33D2C" w:rsidRPr="00D67AEC" w:rsidRDefault="00C33D2C" w:rsidP="00730E8E">
      <w:pPr>
        <w:pStyle w:val="MRheading3"/>
        <w:spacing w:after="240" w:line="240" w:lineRule="auto"/>
        <w:rPr>
          <w:color w:val="000000"/>
        </w:rPr>
      </w:pPr>
      <w:r w:rsidRPr="00D67AEC">
        <w:t>date of acquisition;</w:t>
      </w:r>
    </w:p>
    <w:p w14:paraId="48237FB0" w14:textId="77777777" w:rsidR="00C33D2C" w:rsidRPr="00D67AEC" w:rsidRDefault="00C33D2C" w:rsidP="00730E8E">
      <w:pPr>
        <w:pStyle w:val="MRheading3"/>
        <w:spacing w:after="240" w:line="240" w:lineRule="auto"/>
        <w:rPr>
          <w:color w:val="000000"/>
        </w:rPr>
      </w:pPr>
      <w:r w:rsidRPr="00D67AEC">
        <w:t>description of the Asset;</w:t>
      </w:r>
    </w:p>
    <w:p w14:paraId="14E65776" w14:textId="77777777" w:rsidR="00C33D2C" w:rsidRPr="00D67AEC" w:rsidRDefault="00C33D2C" w:rsidP="00730E8E">
      <w:pPr>
        <w:pStyle w:val="MRheading3"/>
        <w:spacing w:after="240" w:line="240" w:lineRule="auto"/>
        <w:rPr>
          <w:color w:val="000000"/>
        </w:rPr>
      </w:pPr>
      <w:r w:rsidRPr="00D67AEC">
        <w:t>cost, net of recoverable VAT</w:t>
      </w:r>
    </w:p>
    <w:p w14:paraId="63B5F925" w14:textId="77777777" w:rsidR="00C33D2C" w:rsidRPr="00D67AEC" w:rsidRDefault="00C33D2C" w:rsidP="00730E8E">
      <w:pPr>
        <w:pStyle w:val="MRheading3"/>
        <w:spacing w:after="240" w:line="240" w:lineRule="auto"/>
        <w:rPr>
          <w:color w:val="000000"/>
        </w:rPr>
      </w:pPr>
      <w:r w:rsidRPr="00D67AEC">
        <w:t>location of the Asset;</w:t>
      </w:r>
    </w:p>
    <w:p w14:paraId="5723F1E2" w14:textId="77777777" w:rsidR="00C33D2C" w:rsidRPr="00D67AEC" w:rsidRDefault="00C33D2C" w:rsidP="00730E8E">
      <w:pPr>
        <w:pStyle w:val="MRheading3"/>
        <w:spacing w:after="240" w:line="240" w:lineRule="auto"/>
        <w:rPr>
          <w:color w:val="000000"/>
        </w:rPr>
      </w:pPr>
      <w:r w:rsidRPr="00D67AEC">
        <w:t>serial or identification numbers;</w:t>
      </w:r>
    </w:p>
    <w:p w14:paraId="19034518" w14:textId="77777777" w:rsidR="00C33D2C" w:rsidRPr="00D67AEC" w:rsidRDefault="00C33D2C" w:rsidP="00730E8E">
      <w:pPr>
        <w:pStyle w:val="MRheading3"/>
        <w:spacing w:after="240" w:line="240" w:lineRule="auto"/>
        <w:rPr>
          <w:color w:val="000000"/>
        </w:rPr>
      </w:pPr>
      <w:r w:rsidRPr="00D67AEC">
        <w:t>location of the title deeds;</w:t>
      </w:r>
    </w:p>
    <w:p w14:paraId="2D7E62F7" w14:textId="77777777" w:rsidR="00C33D2C" w:rsidRPr="00D67AEC" w:rsidRDefault="00C33D2C" w:rsidP="00730E8E">
      <w:pPr>
        <w:pStyle w:val="MRheading3"/>
        <w:spacing w:after="240" w:line="240" w:lineRule="auto"/>
        <w:rPr>
          <w:color w:val="000000"/>
        </w:rPr>
      </w:pPr>
      <w:r w:rsidRPr="00D67AEC">
        <w:t>date of any Disposal;</w:t>
      </w:r>
    </w:p>
    <w:p w14:paraId="64A76EE0" w14:textId="77777777" w:rsidR="00C33D2C" w:rsidRPr="00D67AEC" w:rsidRDefault="00C33D2C" w:rsidP="00730E8E">
      <w:pPr>
        <w:pStyle w:val="MRheading3"/>
        <w:spacing w:after="240" w:line="240" w:lineRule="auto"/>
        <w:rPr>
          <w:color w:val="000000"/>
        </w:rPr>
      </w:pPr>
      <w:r w:rsidRPr="00D67AEC">
        <w:t>depreciation/amortisation policy applied;</w:t>
      </w:r>
    </w:p>
    <w:p w14:paraId="06557CB7" w14:textId="5B0EA384" w:rsidR="00C33D2C" w:rsidRPr="00730E8E" w:rsidRDefault="00C33D2C">
      <w:pPr>
        <w:pStyle w:val="MRheading3"/>
        <w:spacing w:after="240" w:line="240" w:lineRule="auto"/>
        <w:rPr>
          <w:color w:val="000000"/>
        </w:rPr>
      </w:pPr>
      <w:r w:rsidRPr="00D67AEC">
        <w:t>proceeds of any Disposal net of VAT; and</w:t>
      </w:r>
    </w:p>
    <w:p w14:paraId="5BA3D75E" w14:textId="68A564B6" w:rsidR="00DE019C" w:rsidRPr="00730E8E" w:rsidRDefault="00DE019C" w:rsidP="00730E8E">
      <w:pPr>
        <w:pStyle w:val="MRheading3"/>
        <w:spacing w:before="0"/>
        <w:rPr>
          <w:color w:val="000000"/>
        </w:rPr>
      </w:pPr>
      <w:r w:rsidRPr="00D67AEC">
        <w:t>the identity of any person to whom the Asset has been transferred or sold</w:t>
      </w:r>
      <w:r>
        <w:t>.</w:t>
      </w:r>
    </w:p>
    <w:p w14:paraId="17DF45B9" w14:textId="5BE9B597" w:rsidR="00F85A1F" w:rsidRDefault="00F85A1F">
      <w:pPr>
        <w:pStyle w:val="MRheading2"/>
        <w:spacing w:line="240" w:lineRule="auto"/>
      </w:pPr>
      <w:r>
        <w:t>THET</w:t>
      </w:r>
      <w:r w:rsidRPr="00F85A1F">
        <w:t xml:space="preserve"> reserves the right to require the </w:t>
      </w:r>
      <w:r w:rsidR="009E778B">
        <w:t>Lead Partner</w:t>
      </w:r>
      <w:r w:rsidRPr="00F85A1F">
        <w:t xml:space="preserve"> to maintain the particulars set out in</w:t>
      </w:r>
      <w:r w:rsidR="005D0660">
        <w:t xml:space="preserve"> </w:t>
      </w:r>
      <w:r w:rsidR="00F12FC8">
        <w:t>paragraph</w:t>
      </w:r>
      <w:r w:rsidRPr="00F85A1F">
        <w:t xml:space="preserve"> </w:t>
      </w:r>
      <w:r w:rsidR="00DE019C">
        <w:fldChar w:fldCharType="begin"/>
      </w:r>
      <w:r w:rsidR="00DE019C">
        <w:instrText xml:space="preserve"> REF _Ref124784243 \n \h </w:instrText>
      </w:r>
      <w:r w:rsidR="00DE019C">
        <w:fldChar w:fldCharType="separate"/>
      </w:r>
      <w:r w:rsidR="006B5F2E">
        <w:t>5.14</w:t>
      </w:r>
      <w:r w:rsidR="00DE019C">
        <w:fldChar w:fldCharType="end"/>
      </w:r>
      <w:r w:rsidR="00DE019C">
        <w:t xml:space="preserve"> </w:t>
      </w:r>
      <w:r w:rsidRPr="00F85A1F">
        <w:t xml:space="preserve">for any additional items which </w:t>
      </w:r>
      <w:r w:rsidR="0091467D">
        <w:t>THET</w:t>
      </w:r>
      <w:r w:rsidRPr="00F85A1F">
        <w:t xml:space="preserve"> considers material to the overall Grant</w:t>
      </w:r>
      <w:r w:rsidR="00226636">
        <w:t>.</w:t>
      </w:r>
    </w:p>
    <w:p w14:paraId="124738CB" w14:textId="6B5EBC0D" w:rsidR="009E778B" w:rsidRPr="00D67AEC" w:rsidRDefault="009E778B">
      <w:pPr>
        <w:pStyle w:val="MRheading2"/>
        <w:spacing w:line="240" w:lineRule="auto"/>
      </w:pPr>
      <w:r w:rsidRPr="00D67AEC">
        <w:t xml:space="preserve">Where the </w:t>
      </w:r>
      <w:r>
        <w:t>Lead Partner</w:t>
      </w:r>
      <w:r w:rsidRPr="00D67AEC">
        <w:t xml:space="preserve"> uses any of the Grant to purchase any </w:t>
      </w:r>
      <w:r w:rsidR="00484583">
        <w:t xml:space="preserve">Programme Funded </w:t>
      </w:r>
      <w:r w:rsidR="00682381">
        <w:t xml:space="preserve">Asset or </w:t>
      </w:r>
      <w:r w:rsidRPr="00D67AEC">
        <w:t xml:space="preserve">Fixed Asset, the </w:t>
      </w:r>
      <w:r w:rsidR="0098070C">
        <w:t>Lead Partner</w:t>
      </w:r>
      <w:r w:rsidR="0098070C" w:rsidRPr="00D67AEC">
        <w:t xml:space="preserve"> </w:t>
      </w:r>
      <w:r w:rsidRPr="00D67AEC">
        <w:t xml:space="preserve">must ensure that </w:t>
      </w:r>
      <w:r w:rsidR="00B40DD2">
        <w:t>such Assets</w:t>
      </w:r>
      <w:r w:rsidR="00B40DD2" w:rsidRPr="00D67AEC">
        <w:t xml:space="preserve"> </w:t>
      </w:r>
      <w:r w:rsidRPr="00D67AEC">
        <w:t xml:space="preserve">are maintained in good condition over the </w:t>
      </w:r>
      <w:r w:rsidR="006E172B">
        <w:t>Grant</w:t>
      </w:r>
      <w:r w:rsidRPr="00D67AEC">
        <w:t xml:space="preserve"> Period.</w:t>
      </w:r>
    </w:p>
    <w:p w14:paraId="7822A858" w14:textId="35849910" w:rsidR="00541834" w:rsidRDefault="0098070C">
      <w:pPr>
        <w:pStyle w:val="MRheading2"/>
        <w:spacing w:line="240" w:lineRule="auto"/>
        <w:rPr>
          <w:rFonts w:cs="Arial"/>
          <w:szCs w:val="22"/>
        </w:rPr>
      </w:pPr>
      <w:r>
        <w:t>The Lead Partner</w:t>
      </w:r>
      <w:r w:rsidR="00541834" w:rsidRPr="00D67AEC">
        <w:t xml:space="preserve"> must report to </w:t>
      </w:r>
      <w:r w:rsidR="002F6F1D">
        <w:t>THET</w:t>
      </w:r>
      <w:r w:rsidR="00541834" w:rsidRPr="00D67AEC">
        <w:t xml:space="preserve"> lost or stolen </w:t>
      </w:r>
      <w:r w:rsidR="00682381">
        <w:t>Asset</w:t>
      </w:r>
      <w:r w:rsidR="00434BF0">
        <w:t>s</w:t>
      </w:r>
      <w:r w:rsidR="00541834" w:rsidRPr="00D67AEC">
        <w:t>, regardless of the value</w:t>
      </w:r>
      <w:r w:rsidR="000E0CD9">
        <w:t>.</w:t>
      </w:r>
    </w:p>
    <w:p w14:paraId="0EE9A2D9" w14:textId="61F9BA54" w:rsidR="00627481" w:rsidRPr="00627481" w:rsidRDefault="00627481">
      <w:pPr>
        <w:pStyle w:val="MRheading2"/>
        <w:spacing w:line="240" w:lineRule="auto"/>
        <w:rPr>
          <w:spacing w:val="-3"/>
          <w:sz w:val="20"/>
          <w:szCs w:val="24"/>
          <w:lang w:eastAsia="en-US"/>
        </w:rPr>
      </w:pPr>
      <w:r>
        <w:rPr>
          <w:bCs/>
        </w:rPr>
        <w:t xml:space="preserve">The </w:t>
      </w:r>
      <w:r w:rsidR="00632356">
        <w:rPr>
          <w:bCs/>
        </w:rPr>
        <w:t>Lead Partner</w:t>
      </w:r>
      <w:r>
        <w:t xml:space="preserve"> will be accountable for the appropriate use and control of </w:t>
      </w:r>
      <w:r w:rsidR="00EF0CB8">
        <w:t>Inventory</w:t>
      </w:r>
      <w:r>
        <w:t xml:space="preserve"> items, in line with this </w:t>
      </w:r>
      <w:r w:rsidR="00280641">
        <w:t>Agreement</w:t>
      </w:r>
      <w:r>
        <w:t>.</w:t>
      </w:r>
    </w:p>
    <w:p w14:paraId="34192A23" w14:textId="78B64179" w:rsidR="00627481" w:rsidRDefault="00627481">
      <w:pPr>
        <w:pStyle w:val="MRheading2"/>
        <w:spacing w:line="240" w:lineRule="auto"/>
      </w:pPr>
      <w:r>
        <w:t xml:space="preserve">The </w:t>
      </w:r>
      <w:r w:rsidR="00632356">
        <w:t>Lead Partner</w:t>
      </w:r>
      <w:r>
        <w:t xml:space="preserve"> will manage</w:t>
      </w:r>
      <w:r w:rsidR="00834B2C">
        <w:t xml:space="preserve"> and be responsible for</w:t>
      </w:r>
      <w:r>
        <w:t xml:space="preserve"> the risk of </w:t>
      </w:r>
      <w:r w:rsidR="00834B2C">
        <w:t>A</w:t>
      </w:r>
      <w:r>
        <w:t xml:space="preserve">ssets being lost, stolen, damaged or destroyed </w:t>
      </w:r>
      <w:r w:rsidR="00834B2C">
        <w:t xml:space="preserve">in accordance with </w:t>
      </w:r>
      <w:r>
        <w:t xml:space="preserve">its own policies and procedures. THET expects the </w:t>
      </w:r>
      <w:r w:rsidR="00632356">
        <w:t>Lead Partner</w:t>
      </w:r>
      <w:r>
        <w:t xml:space="preserve"> to cover the cost of repairing or replacing lost, stolen, damaged or destroyed </w:t>
      </w:r>
      <w:r w:rsidR="00834B2C">
        <w:t>A</w:t>
      </w:r>
      <w:r>
        <w:t xml:space="preserve">ssets and should make a </w:t>
      </w:r>
      <w:r w:rsidR="00004878">
        <w:t>risk-based</w:t>
      </w:r>
      <w:r>
        <w:t xml:space="preserve"> decision on how best to do this.</w:t>
      </w:r>
      <w:r w:rsidR="00564202">
        <w:t xml:space="preserve"> </w:t>
      </w:r>
      <w:r>
        <w:t xml:space="preserve">If the </w:t>
      </w:r>
      <w:r w:rsidR="00632356">
        <w:t>Lead Partner</w:t>
      </w:r>
      <w:r>
        <w:t xml:space="preserve"> decides to take out commercial insurance to cover lost, stolen, damaged or destroyed </w:t>
      </w:r>
      <w:r w:rsidR="00834B2C">
        <w:t>A</w:t>
      </w:r>
      <w:r>
        <w:t>ssets, DHSC funds cannot be used to fund the premiums unless, by exception, explicitly agreed in writing in advance.</w:t>
      </w:r>
    </w:p>
    <w:p w14:paraId="38D5CDAB" w14:textId="02FAAADC" w:rsidR="00627481" w:rsidRPr="00211551" w:rsidRDefault="00627481">
      <w:pPr>
        <w:pStyle w:val="MRheading2"/>
        <w:spacing w:line="240" w:lineRule="auto"/>
        <w:rPr>
          <w:spacing w:val="-3"/>
          <w:sz w:val="20"/>
          <w:szCs w:val="24"/>
          <w:lang w:eastAsia="en-US"/>
        </w:rPr>
      </w:pPr>
      <w:r>
        <w:lastRenderedPageBreak/>
        <w:t xml:space="preserve">DHSC will retain ultimate ownership of all </w:t>
      </w:r>
      <w:r w:rsidR="005E7EC2">
        <w:t xml:space="preserve">Programme Funded Assets and Fixed </w:t>
      </w:r>
      <w:r w:rsidR="00834B2C">
        <w:t>A</w:t>
      </w:r>
      <w:r>
        <w:t xml:space="preserve">ssets, specifically project </w:t>
      </w:r>
      <w:r w:rsidR="00834B2C">
        <w:t>Assets</w:t>
      </w:r>
      <w:r>
        <w:t xml:space="preserve">, financial </w:t>
      </w:r>
      <w:r w:rsidR="00834B2C">
        <w:t xml:space="preserve">Assets </w:t>
      </w:r>
      <w:r>
        <w:t xml:space="preserve">and information </w:t>
      </w:r>
      <w:r w:rsidR="00834B2C">
        <w:t>Assets</w:t>
      </w:r>
      <w:r>
        <w:t>, until ownership transfer or asset disposal is otherwise agreed in writing by DHSC.</w:t>
      </w:r>
      <w:r w:rsidR="00564202">
        <w:t xml:space="preserve"> </w:t>
      </w:r>
      <w:r>
        <w:t xml:space="preserve">The </w:t>
      </w:r>
      <w:r w:rsidR="005E7EC2">
        <w:t xml:space="preserve">Lead </w:t>
      </w:r>
      <w:r>
        <w:t xml:space="preserve">Partner </w:t>
      </w:r>
      <w:r w:rsidR="00834B2C">
        <w:t xml:space="preserve">shall </w:t>
      </w:r>
      <w:r>
        <w:t xml:space="preserve">propose an appropriate disposal schedule to DHSC in writing no later than </w:t>
      </w:r>
      <w:r w:rsidR="00574404">
        <w:t xml:space="preserve">six months </w:t>
      </w:r>
      <w:r>
        <w:t>before the</w:t>
      </w:r>
      <w:r w:rsidR="00A7682C">
        <w:t xml:space="preserve"> expiry of the Grant </w:t>
      </w:r>
      <w:r w:rsidR="00CC134C">
        <w:t>P</w:t>
      </w:r>
      <w:r w:rsidR="00A7682C">
        <w:t>eriod.</w:t>
      </w:r>
    </w:p>
    <w:p w14:paraId="3B23CA51" w14:textId="011A58E7" w:rsidR="00427326" w:rsidRPr="00211551" w:rsidRDefault="00427326">
      <w:pPr>
        <w:pStyle w:val="MRheading2"/>
        <w:spacing w:line="240" w:lineRule="auto"/>
      </w:pPr>
      <w:r w:rsidRPr="00211551">
        <w:t xml:space="preserve">The </w:t>
      </w:r>
      <w:r w:rsidR="00632356">
        <w:t>Lead Partner</w:t>
      </w:r>
      <w:r>
        <w:t xml:space="preserve"> </w:t>
      </w:r>
      <w:r w:rsidRPr="00211551">
        <w:t xml:space="preserve">agrees that </w:t>
      </w:r>
      <w:r>
        <w:t>THET, DHSC and the Secretary of State for Health and Social Care</w:t>
      </w:r>
      <w:r w:rsidRPr="00CC1746">
        <w:t xml:space="preserve"> </w:t>
      </w:r>
      <w:r w:rsidRPr="00211551">
        <w:t xml:space="preserve">shall be entitled to audit the delivery and performance of the </w:t>
      </w:r>
      <w:r>
        <w:t xml:space="preserve">activities performed under or in connection with this Agreement </w:t>
      </w:r>
      <w:r w:rsidRPr="00211551">
        <w:t xml:space="preserve">and/or request access to, or a report from, the </w:t>
      </w:r>
      <w:r w:rsidR="00632356">
        <w:t>Lead Partner</w:t>
      </w:r>
      <w:r>
        <w:t xml:space="preserve">’s </w:t>
      </w:r>
      <w:r w:rsidRPr="00211551">
        <w:t xml:space="preserve">auditors on its audited accounts. Any such reports must be capable of being relied upon by </w:t>
      </w:r>
      <w:r>
        <w:t>THET, DHSC and the Secretary of State for Health and Social Care</w:t>
      </w:r>
      <w:r w:rsidRPr="00211551">
        <w:t xml:space="preserve">. </w:t>
      </w:r>
      <w:r w:rsidR="006554C2">
        <w:t xml:space="preserve">THET and </w:t>
      </w:r>
      <w:r w:rsidR="00004878">
        <w:t xml:space="preserve">DHSC </w:t>
      </w:r>
      <w:r w:rsidR="00004878" w:rsidRPr="00211551">
        <w:t>shall</w:t>
      </w:r>
      <w:r w:rsidRPr="00211551">
        <w:t xml:space="preserve"> also be entitled to full access to the </w:t>
      </w:r>
      <w:r w:rsidR="00632356">
        <w:t>Lead Partner</w:t>
      </w:r>
      <w:r>
        <w:t xml:space="preserve">’s </w:t>
      </w:r>
      <w:r w:rsidRPr="00211551">
        <w:t xml:space="preserve">records on an open-book basis during the </w:t>
      </w:r>
      <w:r>
        <w:t xml:space="preserve">term of this Agreement </w:t>
      </w:r>
      <w:r w:rsidRPr="00211551">
        <w:t xml:space="preserve">or such other period as </w:t>
      </w:r>
      <w:r>
        <w:t>THET, DHSC and/or the Secretary of State for Health and Social Care</w:t>
      </w:r>
      <w:r w:rsidRPr="00CC1746">
        <w:t xml:space="preserve"> </w:t>
      </w:r>
      <w:r w:rsidRPr="00211551">
        <w:t>may require</w:t>
      </w:r>
      <w:r>
        <w:t>.</w:t>
      </w:r>
    </w:p>
    <w:p w14:paraId="67156602" w14:textId="1F29A91D" w:rsidR="00427326" w:rsidRPr="00211551" w:rsidRDefault="00427326">
      <w:pPr>
        <w:pStyle w:val="MRheading2"/>
        <w:spacing w:line="240" w:lineRule="auto"/>
      </w:pPr>
      <w:r w:rsidRPr="00211551">
        <w:t xml:space="preserve">The </w:t>
      </w:r>
      <w:r w:rsidR="00632356">
        <w:t>Lead Partner</w:t>
      </w:r>
      <w:r>
        <w:t xml:space="preserve"> </w:t>
      </w:r>
      <w:r w:rsidRPr="00211551">
        <w:t xml:space="preserve">will permit (and comply with) any surveys of management controls and systems, including internal audit reviews, as may be required by </w:t>
      </w:r>
      <w:r>
        <w:t>THET, DHSC and/or the Secretary of State for Health and Social Care</w:t>
      </w:r>
      <w:r w:rsidRPr="00211551">
        <w:t>.</w:t>
      </w:r>
    </w:p>
    <w:p w14:paraId="3AF739BC" w14:textId="1C4971B0" w:rsidR="00427326" w:rsidRPr="00211551" w:rsidRDefault="00427326">
      <w:pPr>
        <w:pStyle w:val="MRheading2"/>
        <w:spacing w:line="240" w:lineRule="auto"/>
      </w:pPr>
      <w:r w:rsidRPr="00211551">
        <w:t xml:space="preserve">The </w:t>
      </w:r>
      <w:r w:rsidR="00632356">
        <w:t>Lead Partner</w:t>
      </w:r>
      <w:r>
        <w:t xml:space="preserve"> </w:t>
      </w:r>
      <w:r w:rsidRPr="00211551">
        <w:t xml:space="preserve">(and any person acting on behalf of the same) will at the request of </w:t>
      </w:r>
      <w:r>
        <w:t>THET, DHSC and/or the Secretary of State for Health and Social Care</w:t>
      </w:r>
      <w:r w:rsidRPr="00CC1746">
        <w:t xml:space="preserve"> </w:t>
      </w:r>
      <w:r w:rsidRPr="00211551">
        <w:t xml:space="preserve">permit </w:t>
      </w:r>
      <w:r>
        <w:t xml:space="preserve">any such party (or any third party nominated or required by any such party) </w:t>
      </w:r>
      <w:r w:rsidRPr="00211551">
        <w:t>access at all reasonable times to all documents (including computerised documents and data) and other information as are connected to the Grant payable under this Agreement.</w:t>
      </w:r>
    </w:p>
    <w:p w14:paraId="396EC76D" w14:textId="6ED6D838" w:rsidR="00427326" w:rsidRDefault="00427326">
      <w:pPr>
        <w:pStyle w:val="MRheading2"/>
        <w:spacing w:line="240" w:lineRule="auto"/>
      </w:pPr>
      <w:r>
        <w:t>T</w:t>
      </w:r>
      <w:r w:rsidRPr="00211551">
        <w:t xml:space="preserve">he </w:t>
      </w:r>
      <w:r w:rsidR="00632356">
        <w:t>Lead Partner</w:t>
      </w:r>
      <w:r>
        <w:t xml:space="preserve"> </w:t>
      </w:r>
      <w:r w:rsidRPr="00211551">
        <w:t xml:space="preserve">will retain such information as would be necessary to provide assurance that the </w:t>
      </w:r>
      <w:r w:rsidR="00632356">
        <w:t>Lead Partner</w:t>
      </w:r>
      <w:r>
        <w:t xml:space="preserve"> </w:t>
      </w:r>
      <w:r w:rsidRPr="00211551">
        <w:t xml:space="preserve">delivered the minimum requirements of </w:t>
      </w:r>
      <w:r w:rsidR="00FD0CB6">
        <w:t>its obligations hereunder</w:t>
      </w:r>
      <w:r w:rsidRPr="00211551">
        <w:t>.</w:t>
      </w:r>
    </w:p>
    <w:p w14:paraId="4331D846" w14:textId="2C612BD2" w:rsidR="001C1D17" w:rsidRPr="00211551" w:rsidRDefault="000D00B0">
      <w:pPr>
        <w:pStyle w:val="MRheading2"/>
        <w:spacing w:line="240" w:lineRule="auto"/>
      </w:pPr>
      <w:r>
        <w:t xml:space="preserve">The Lead Partner </w:t>
      </w:r>
      <w:r w:rsidR="00945BDE">
        <w:t xml:space="preserve">shall </w:t>
      </w:r>
      <w:r>
        <w:t>not</w:t>
      </w:r>
      <w:r w:rsidR="005C0E9D">
        <w:t xml:space="preserve"> create a charge or grant security over any </w:t>
      </w:r>
      <w:r w:rsidR="00C503EB">
        <w:t>Asset or Fixed Asset</w:t>
      </w:r>
      <w:r w:rsidR="00945BDE">
        <w:t>.</w:t>
      </w:r>
      <w:r w:rsidR="005C0E9D">
        <w:t xml:space="preserve"> </w:t>
      </w:r>
    </w:p>
    <w:p w14:paraId="0474D274" w14:textId="77777777" w:rsidR="00EE56A7" w:rsidRPr="005C5086" w:rsidRDefault="00EE56A7">
      <w:pPr>
        <w:pStyle w:val="MRheading1"/>
        <w:spacing w:line="240" w:lineRule="auto"/>
      </w:pPr>
      <w:bookmarkStart w:id="27" w:name="_Ref319072126"/>
      <w:r w:rsidRPr="00295439">
        <w:t>Monitoring</w:t>
      </w:r>
      <w:r>
        <w:t xml:space="preserve"> and Reporting</w:t>
      </w:r>
      <w:bookmarkEnd w:id="27"/>
    </w:p>
    <w:p w14:paraId="10BA6FF4" w14:textId="7AFC30B2" w:rsidR="00EE56A7" w:rsidRPr="0074024C" w:rsidRDefault="01A3A62F" w:rsidP="0095685B">
      <w:pPr>
        <w:pStyle w:val="MRheading2"/>
        <w:spacing w:line="240" w:lineRule="auto"/>
      </w:pPr>
      <w:bookmarkStart w:id="28" w:name="_Ref393291181"/>
      <w:r w:rsidRPr="7D6BE9DE">
        <w:rPr>
          <w:rFonts w:cs="Arial"/>
        </w:rPr>
        <w:t xml:space="preserve">The </w:t>
      </w:r>
      <w:r w:rsidR="7D62A095" w:rsidRPr="7D6BE9DE">
        <w:rPr>
          <w:rFonts w:cs="Arial"/>
        </w:rPr>
        <w:t>Lead Partner</w:t>
      </w:r>
      <w:r w:rsidRPr="7D6BE9DE">
        <w:rPr>
          <w:rFonts w:cs="Arial"/>
        </w:rPr>
        <w:t xml:space="preserve"> shall closely monitor the delivery and success of the </w:t>
      </w:r>
      <w:r w:rsidR="4C574C7F" w:rsidRPr="7D6BE9DE">
        <w:rPr>
          <w:rFonts w:cs="Arial"/>
        </w:rPr>
        <w:t>GHWP</w:t>
      </w:r>
      <w:r w:rsidRPr="7D6BE9DE">
        <w:rPr>
          <w:rFonts w:cs="Arial"/>
        </w:rPr>
        <w:t xml:space="preserve"> </w:t>
      </w:r>
      <w:r w:rsidR="20F98438" w:rsidRPr="7D6BE9DE">
        <w:rPr>
          <w:rFonts w:cs="Arial"/>
        </w:rPr>
        <w:t xml:space="preserve"> </w:t>
      </w:r>
      <w:r w:rsidRPr="7D6BE9DE">
        <w:rPr>
          <w:rFonts w:cs="Arial"/>
        </w:rPr>
        <w:t xml:space="preserve">throughout the Grant Period to ensure that the aims and objectives of the </w:t>
      </w:r>
      <w:r w:rsidR="4C574C7F" w:rsidRPr="7D6BE9DE">
        <w:rPr>
          <w:rFonts w:cs="Arial"/>
        </w:rPr>
        <w:t>GHWP</w:t>
      </w:r>
      <w:r w:rsidRPr="7D6BE9DE">
        <w:rPr>
          <w:rFonts w:cs="Arial"/>
        </w:rPr>
        <w:t>are being met and that this Agreement is being adhered to</w:t>
      </w:r>
      <w:r w:rsidR="4F097030" w:rsidRPr="7D6BE9DE">
        <w:rPr>
          <w:rFonts w:cs="Arial"/>
        </w:rPr>
        <w:t>,</w:t>
      </w:r>
      <w:r w:rsidRPr="7D6BE9DE">
        <w:rPr>
          <w:rFonts w:cs="Arial"/>
        </w:rPr>
        <w:t xml:space="preserve"> and shall liaise with THET on a regular basis th</w:t>
      </w:r>
      <w:r w:rsidR="38DE098F" w:rsidRPr="7D6BE9DE">
        <w:rPr>
          <w:rFonts w:cs="Arial"/>
        </w:rPr>
        <w:t>r</w:t>
      </w:r>
      <w:r w:rsidRPr="7D6BE9DE">
        <w:rPr>
          <w:rFonts w:cs="Arial"/>
        </w:rPr>
        <w:t xml:space="preserve">ough meetings and reports as set out in this paragraph </w:t>
      </w:r>
      <w:r w:rsidR="00EE56A7" w:rsidRPr="7D6BE9DE">
        <w:rPr>
          <w:rFonts w:cs="Arial"/>
        </w:rPr>
        <w:fldChar w:fldCharType="begin"/>
      </w:r>
      <w:r w:rsidR="00EE56A7" w:rsidRPr="7D6BE9DE">
        <w:rPr>
          <w:rFonts w:cs="Arial"/>
        </w:rPr>
        <w:instrText xml:space="preserve"> REF _Ref319072126 \r \h </w:instrText>
      </w:r>
      <w:r w:rsidR="00EC5CC0" w:rsidRPr="7D6BE9DE">
        <w:rPr>
          <w:rFonts w:cs="Arial"/>
        </w:rPr>
        <w:instrText xml:space="preserve"> \* MERGEFORMAT </w:instrText>
      </w:r>
      <w:r w:rsidR="00EE56A7" w:rsidRPr="7D6BE9DE">
        <w:rPr>
          <w:rFonts w:cs="Arial"/>
        </w:rPr>
      </w:r>
      <w:r w:rsidR="00EE56A7" w:rsidRPr="7D6BE9DE">
        <w:rPr>
          <w:rFonts w:cs="Arial"/>
        </w:rPr>
        <w:fldChar w:fldCharType="separate"/>
      </w:r>
      <w:r w:rsidR="006B5F2E">
        <w:rPr>
          <w:rFonts w:cs="Arial"/>
        </w:rPr>
        <w:t>6</w:t>
      </w:r>
      <w:r w:rsidR="00EE56A7" w:rsidRPr="7D6BE9DE">
        <w:rPr>
          <w:rFonts w:cs="Arial"/>
        </w:rPr>
        <w:fldChar w:fldCharType="end"/>
      </w:r>
      <w:r w:rsidR="75754D23" w:rsidRPr="7D6BE9DE">
        <w:rPr>
          <w:rFonts w:cs="Arial"/>
        </w:rPr>
        <w:t>,</w:t>
      </w:r>
      <w:r w:rsidRPr="7D6BE9DE">
        <w:rPr>
          <w:rFonts w:cs="Arial"/>
        </w:rPr>
        <w:t xml:space="preserve"> </w:t>
      </w:r>
      <w:r w:rsidR="7401545C" w:rsidRPr="7D6BE9DE">
        <w:rPr>
          <w:rFonts w:cs="Arial"/>
        </w:rPr>
        <w:t xml:space="preserve">Annex 2 </w:t>
      </w:r>
      <w:r w:rsidRPr="7D6BE9DE">
        <w:rPr>
          <w:rFonts w:cs="Arial"/>
        </w:rPr>
        <w:t>and as otherwise required by THET for THET’s monitoring purposes.</w:t>
      </w:r>
      <w:bookmarkEnd w:id="28"/>
    </w:p>
    <w:p w14:paraId="5B65A5E0" w14:textId="0CD59FE9" w:rsidR="00EE56A7" w:rsidRPr="00876A3D" w:rsidRDefault="003F0478">
      <w:pPr>
        <w:pStyle w:val="MRheading2"/>
        <w:spacing w:line="240" w:lineRule="auto"/>
      </w:pPr>
      <w:bookmarkStart w:id="29" w:name="_Ref127456484"/>
      <w:r>
        <w:t xml:space="preserve">The </w:t>
      </w:r>
      <w:r w:rsidR="00632356">
        <w:t>Lead Partner</w:t>
      </w:r>
      <w:r>
        <w:t xml:space="preserve"> shall provide THET with a finalised project </w:t>
      </w:r>
      <w:r w:rsidR="005918D8">
        <w:t xml:space="preserve">monitoring and evaluation </w:t>
      </w:r>
      <w:r w:rsidRPr="005918D8">
        <w:t>plan</w:t>
      </w:r>
      <w:r>
        <w:t xml:space="preserve"> </w:t>
      </w:r>
      <w:r w:rsidR="00A7682C">
        <w:t xml:space="preserve">that is acceptable to THET </w:t>
      </w:r>
      <w:r>
        <w:t>w</w:t>
      </w:r>
      <w:r w:rsidR="00EE56A7">
        <w:t xml:space="preserve">ithin </w:t>
      </w:r>
      <w:r>
        <w:t xml:space="preserve">the </w:t>
      </w:r>
      <w:r w:rsidR="0022320D">
        <w:t xml:space="preserve">one </w:t>
      </w:r>
      <w:r w:rsidR="00141CA3">
        <w:t>(</w:t>
      </w:r>
      <w:r w:rsidR="0022320D">
        <w:t>1</w:t>
      </w:r>
      <w:r w:rsidR="00141CA3">
        <w:t>)</w:t>
      </w:r>
      <w:r w:rsidR="00EE56A7">
        <w:t xml:space="preserve"> month</w:t>
      </w:r>
      <w:r w:rsidR="00336157">
        <w:t xml:space="preserve"> period</w:t>
      </w:r>
      <w:r w:rsidR="00EE56A7">
        <w:t xml:space="preserve"> </w:t>
      </w:r>
      <w:r>
        <w:t xml:space="preserve">following </w:t>
      </w:r>
      <w:r w:rsidR="0060699D">
        <w:t>the</w:t>
      </w:r>
      <w:r w:rsidR="00A7682C">
        <w:t xml:space="preserve"> start of the Grant Period</w:t>
      </w:r>
      <w:r w:rsidR="00EE56A7">
        <w:t>.</w:t>
      </w:r>
      <w:bookmarkEnd w:id="29"/>
    </w:p>
    <w:p w14:paraId="65997217" w14:textId="3C7080DD" w:rsidR="00EE56A7" w:rsidRPr="002D52AD" w:rsidRDefault="00EE56A7">
      <w:pPr>
        <w:pStyle w:val="MRheading2"/>
        <w:spacing w:line="240" w:lineRule="auto"/>
      </w:pPr>
      <w:bookmarkStart w:id="30" w:name="_Ref319323791"/>
      <w:r>
        <w:rPr>
          <w:rFonts w:cs="Arial"/>
          <w:szCs w:val="22"/>
        </w:rPr>
        <w:t xml:space="preserve">Unless otherwise </w:t>
      </w:r>
      <w:r w:rsidR="002A3BA5">
        <w:rPr>
          <w:rFonts w:cs="Arial"/>
          <w:szCs w:val="22"/>
        </w:rPr>
        <w:t xml:space="preserve">expressly </w:t>
      </w:r>
      <w:r>
        <w:rPr>
          <w:rFonts w:cs="Arial"/>
          <w:szCs w:val="22"/>
        </w:rPr>
        <w:t>stated</w:t>
      </w:r>
      <w:r w:rsidR="002A3BA5">
        <w:rPr>
          <w:rFonts w:cs="Arial"/>
          <w:szCs w:val="22"/>
        </w:rPr>
        <w:t xml:space="preserve"> otherwise herein</w:t>
      </w:r>
      <w:r>
        <w:rPr>
          <w:rFonts w:cs="Arial"/>
          <w:szCs w:val="22"/>
        </w:rPr>
        <w:t xml:space="preserve">, the </w:t>
      </w:r>
      <w:r w:rsidR="005E545B">
        <w:rPr>
          <w:rFonts w:cs="Arial"/>
          <w:szCs w:val="22"/>
        </w:rPr>
        <w:t>P</w:t>
      </w:r>
      <w:r>
        <w:rPr>
          <w:rFonts w:cs="Arial"/>
          <w:szCs w:val="22"/>
        </w:rPr>
        <w:t xml:space="preserve">arties shall agree the format to be used by the </w:t>
      </w:r>
      <w:r w:rsidR="00632356">
        <w:rPr>
          <w:rFonts w:cs="Arial"/>
          <w:szCs w:val="22"/>
        </w:rPr>
        <w:t>Lead Partner</w:t>
      </w:r>
      <w:r>
        <w:rPr>
          <w:rFonts w:cs="Arial"/>
          <w:szCs w:val="22"/>
        </w:rPr>
        <w:t xml:space="preserve"> for the reports to be submitted in accordance with paragraphs </w:t>
      </w:r>
      <w:r w:rsidR="00BB23F7">
        <w:rPr>
          <w:rFonts w:cs="Arial"/>
          <w:szCs w:val="22"/>
        </w:rPr>
        <w:fldChar w:fldCharType="begin"/>
      </w:r>
      <w:r w:rsidR="00BB23F7">
        <w:rPr>
          <w:rFonts w:cs="Arial"/>
          <w:szCs w:val="22"/>
        </w:rPr>
        <w:instrText xml:space="preserve"> REF _Ref319072179 \n \h </w:instrText>
      </w:r>
      <w:r w:rsidR="00BB23F7">
        <w:rPr>
          <w:rFonts w:cs="Arial"/>
          <w:szCs w:val="22"/>
        </w:rPr>
      </w:r>
      <w:r w:rsidR="00BB23F7">
        <w:rPr>
          <w:rFonts w:cs="Arial"/>
          <w:szCs w:val="22"/>
        </w:rPr>
        <w:fldChar w:fldCharType="separate"/>
      </w:r>
      <w:r w:rsidR="006B5F2E">
        <w:rPr>
          <w:rFonts w:cs="Arial"/>
          <w:szCs w:val="22"/>
        </w:rPr>
        <w:t>6.4</w:t>
      </w:r>
      <w:r w:rsidR="00BB23F7">
        <w:rPr>
          <w:rFonts w:cs="Arial"/>
          <w:szCs w:val="22"/>
        </w:rPr>
        <w:fldChar w:fldCharType="end"/>
      </w:r>
      <w:r w:rsidR="005A633D">
        <w:rPr>
          <w:rFonts w:cs="Arial"/>
          <w:szCs w:val="22"/>
        </w:rPr>
        <w:t xml:space="preserve"> </w:t>
      </w:r>
      <w:r w:rsidR="00BB23F7">
        <w:rPr>
          <w:rFonts w:cs="Arial"/>
          <w:szCs w:val="22"/>
        </w:rPr>
        <w:t xml:space="preserve">and </w:t>
      </w:r>
      <w:r w:rsidR="00BB23F7">
        <w:rPr>
          <w:rFonts w:cs="Arial"/>
          <w:szCs w:val="22"/>
        </w:rPr>
        <w:fldChar w:fldCharType="begin"/>
      </w:r>
      <w:r w:rsidR="00BB23F7">
        <w:rPr>
          <w:rFonts w:cs="Arial"/>
          <w:szCs w:val="22"/>
        </w:rPr>
        <w:instrText xml:space="preserve"> REF _Ref124786107 \n \h </w:instrText>
      </w:r>
      <w:r w:rsidR="00BB23F7">
        <w:rPr>
          <w:rFonts w:cs="Arial"/>
          <w:szCs w:val="22"/>
        </w:rPr>
      </w:r>
      <w:r w:rsidR="00BB23F7">
        <w:rPr>
          <w:rFonts w:cs="Arial"/>
          <w:szCs w:val="22"/>
        </w:rPr>
        <w:fldChar w:fldCharType="separate"/>
      </w:r>
      <w:r w:rsidR="006B5F2E">
        <w:rPr>
          <w:rFonts w:cs="Arial"/>
          <w:szCs w:val="22"/>
        </w:rPr>
        <w:t>6.9</w:t>
      </w:r>
      <w:r w:rsidR="00BB23F7">
        <w:rPr>
          <w:rFonts w:cs="Arial"/>
          <w:szCs w:val="22"/>
        </w:rPr>
        <w:fldChar w:fldCharType="end"/>
      </w:r>
      <w:r w:rsidR="00BB23F7">
        <w:rPr>
          <w:rFonts w:cs="Arial"/>
          <w:szCs w:val="22"/>
        </w:rPr>
        <w:t xml:space="preserve"> </w:t>
      </w:r>
      <w:r>
        <w:rPr>
          <w:rFonts w:cs="Arial"/>
          <w:szCs w:val="22"/>
        </w:rPr>
        <w:t>below</w:t>
      </w:r>
      <w:r w:rsidR="002A3BA5">
        <w:rPr>
          <w:rFonts w:cs="Arial"/>
          <w:szCs w:val="22"/>
        </w:rPr>
        <w:t>,</w:t>
      </w:r>
      <w:r>
        <w:rPr>
          <w:rFonts w:cs="Arial"/>
          <w:szCs w:val="22"/>
        </w:rPr>
        <w:t xml:space="preserve"> provided that the </w:t>
      </w:r>
      <w:r w:rsidR="00632356">
        <w:rPr>
          <w:rFonts w:cs="Arial"/>
          <w:szCs w:val="22"/>
        </w:rPr>
        <w:t>Lead Partner</w:t>
      </w:r>
      <w:r>
        <w:rPr>
          <w:rFonts w:cs="Arial"/>
          <w:szCs w:val="22"/>
        </w:rPr>
        <w:t xml:space="preserve"> shall comply with any changes to such agreed format as may be required </w:t>
      </w:r>
      <w:r w:rsidR="002A3BA5">
        <w:rPr>
          <w:rFonts w:cs="Arial"/>
          <w:szCs w:val="22"/>
        </w:rPr>
        <w:t xml:space="preserve">and notified </w:t>
      </w:r>
      <w:r>
        <w:rPr>
          <w:rFonts w:cs="Arial"/>
          <w:szCs w:val="22"/>
        </w:rPr>
        <w:t>by THET</w:t>
      </w:r>
      <w:r w:rsidR="00513249">
        <w:rPr>
          <w:rFonts w:cs="Arial"/>
          <w:szCs w:val="22"/>
        </w:rPr>
        <w:t xml:space="preserve"> to the Lead Partner</w:t>
      </w:r>
      <w:r>
        <w:rPr>
          <w:rFonts w:cs="Arial"/>
          <w:szCs w:val="22"/>
        </w:rPr>
        <w:t xml:space="preserve"> from to time.</w:t>
      </w:r>
      <w:bookmarkEnd w:id="30"/>
    </w:p>
    <w:p w14:paraId="7531F3F6" w14:textId="77777777" w:rsidR="00CA069F" w:rsidRPr="00CA069F" w:rsidRDefault="00EE56A7" w:rsidP="0095685B">
      <w:pPr>
        <w:pStyle w:val="MRheading2"/>
        <w:spacing w:line="240" w:lineRule="auto"/>
      </w:pPr>
      <w:bookmarkStart w:id="31" w:name="_Ref127794070"/>
      <w:bookmarkStart w:id="32" w:name="_Ref319072179"/>
      <w:r w:rsidRPr="00AD5A65">
        <w:rPr>
          <w:rFonts w:cs="Arial"/>
          <w:szCs w:val="22"/>
        </w:rPr>
        <w:lastRenderedPageBreak/>
        <w:t xml:space="preserve">The </w:t>
      </w:r>
      <w:r w:rsidR="00632356">
        <w:rPr>
          <w:rFonts w:cs="Arial"/>
          <w:szCs w:val="22"/>
        </w:rPr>
        <w:t>Lead Partner</w:t>
      </w:r>
      <w:r w:rsidRPr="00AD5A65">
        <w:rPr>
          <w:rFonts w:cs="Arial"/>
          <w:szCs w:val="22"/>
        </w:rPr>
        <w:t xml:space="preserve"> shall provide THET with</w:t>
      </w:r>
      <w:r w:rsidR="00CA069F">
        <w:rPr>
          <w:rFonts w:cs="Arial"/>
          <w:szCs w:val="22"/>
        </w:rPr>
        <w:t>:</w:t>
      </w:r>
      <w:bookmarkEnd w:id="31"/>
    </w:p>
    <w:p w14:paraId="2BACA5A0" w14:textId="3105209B" w:rsidR="00AC5076" w:rsidRDefault="4B96A461" w:rsidP="005F21EA">
      <w:pPr>
        <w:pStyle w:val="MRheading3"/>
        <w:spacing w:line="240" w:lineRule="auto"/>
      </w:pPr>
      <w:r>
        <w:t xml:space="preserve">a narrative operational report </w:t>
      </w:r>
      <w:r w:rsidR="06B8AAEF">
        <w:t>on</w:t>
      </w:r>
      <w:r>
        <w:t xml:space="preserve"> its use of the Grant and </w:t>
      </w:r>
      <w:r w:rsidR="206C7295">
        <w:t xml:space="preserve">the </w:t>
      </w:r>
      <w:r>
        <w:t xml:space="preserve">delivery of the </w:t>
      </w:r>
      <w:r w:rsidR="4C574C7F">
        <w:t>GHWP</w:t>
      </w:r>
      <w:r>
        <w:t xml:space="preserve"> </w:t>
      </w:r>
      <w:r w:rsidR="06B8AAEF">
        <w:t xml:space="preserve">project </w:t>
      </w:r>
      <w:r w:rsidR="1FAC7FE5">
        <w:t>(a “</w:t>
      </w:r>
      <w:r w:rsidR="1FAC7FE5" w:rsidRPr="7D6BE9DE">
        <w:rPr>
          <w:b/>
          <w:bCs/>
        </w:rPr>
        <w:t>Narrative Operational Report</w:t>
      </w:r>
      <w:r w:rsidR="1FAC7FE5">
        <w:t xml:space="preserve">”) </w:t>
      </w:r>
      <w:r>
        <w:t xml:space="preserve">every </w:t>
      </w:r>
      <w:r w:rsidR="003C00A7">
        <w:t>six</w:t>
      </w:r>
      <w:r w:rsidR="0090634C">
        <w:t xml:space="preserve"> </w:t>
      </w:r>
      <w:r>
        <w:t>(</w:t>
      </w:r>
      <w:r w:rsidR="003C00A7">
        <w:t>6</w:t>
      </w:r>
      <w:r>
        <w:t xml:space="preserve">) months during the Grant Period. The Lead Partner shall provide THET with each </w:t>
      </w:r>
      <w:r w:rsidR="1FAC7FE5">
        <w:t>Narrative Operational Report</w:t>
      </w:r>
      <w:r>
        <w:t xml:space="preserve"> within fourteen (14) days of the last day of the </w:t>
      </w:r>
      <w:r w:rsidR="003C00A7">
        <w:t>six</w:t>
      </w:r>
      <w:r w:rsidR="0090634C">
        <w:t xml:space="preserve"> </w:t>
      </w:r>
      <w:r>
        <w:t>(</w:t>
      </w:r>
      <w:r w:rsidR="003C00A7">
        <w:t>6</w:t>
      </w:r>
      <w:r>
        <w:t>) month period to which it relates</w:t>
      </w:r>
      <w:r w:rsidR="06B8AAEF">
        <w:t>; and</w:t>
      </w:r>
      <w:bookmarkStart w:id="33" w:name="_Hlk125112060"/>
      <w:r w:rsidR="605C99B8">
        <w:t xml:space="preserve">; </w:t>
      </w:r>
    </w:p>
    <w:p w14:paraId="3CEC6D78" w14:textId="541EBEF1" w:rsidR="008D0DFD" w:rsidRDefault="00F409B1" w:rsidP="005F21EA">
      <w:pPr>
        <w:pStyle w:val="MRheading3"/>
        <w:spacing w:line="240" w:lineRule="auto"/>
      </w:pPr>
      <w:bookmarkStart w:id="34" w:name="_Ref127533867"/>
      <w:r>
        <w:t xml:space="preserve">a delivery chain map </w:t>
      </w:r>
      <w:r w:rsidR="00046B04">
        <w:t>in THET’s template form</w:t>
      </w:r>
      <w:r w:rsidR="00F16DB9" w:rsidRPr="00F16DB9">
        <w:t xml:space="preserve"> </w:t>
      </w:r>
      <w:r w:rsidR="006807FE">
        <w:t>(a “</w:t>
      </w:r>
      <w:r w:rsidR="006807FE" w:rsidRPr="005F21EA">
        <w:rPr>
          <w:b/>
          <w:bCs/>
        </w:rPr>
        <w:t>Delivery Chain Map</w:t>
      </w:r>
      <w:r w:rsidR="006807FE">
        <w:t xml:space="preserve">”) </w:t>
      </w:r>
      <w:r w:rsidR="00F16DB9">
        <w:t xml:space="preserve">within the </w:t>
      </w:r>
      <w:r w:rsidR="0090634C">
        <w:t xml:space="preserve">three </w:t>
      </w:r>
      <w:r w:rsidR="00F16DB9">
        <w:t>(</w:t>
      </w:r>
      <w:r w:rsidR="0090634C">
        <w:t>3</w:t>
      </w:r>
      <w:r w:rsidR="00F16DB9">
        <w:t>) month period following the start of the Grant Period</w:t>
      </w:r>
      <w:r w:rsidR="00046B04">
        <w:t xml:space="preserve">, </w:t>
      </w:r>
      <w:r w:rsidR="00F16DB9">
        <w:t>such</w:t>
      </w:r>
      <w:r w:rsidR="006807FE">
        <w:t xml:space="preserve"> Delivery Chain Map</w:t>
      </w:r>
      <w:r w:rsidR="00F16DB9">
        <w:t xml:space="preserve"> to detail</w:t>
      </w:r>
      <w:r w:rsidR="00FF39F8">
        <w:t xml:space="preserve"> the </w:t>
      </w:r>
      <w:r w:rsidR="006B6CA2">
        <w:t>funding flows</w:t>
      </w:r>
      <w:r w:rsidR="00FF39F8">
        <w:t xml:space="preserve"> to </w:t>
      </w:r>
      <w:r w:rsidR="005E28FA">
        <w:t>D</w:t>
      </w:r>
      <w:r w:rsidR="00FF39F8">
        <w:t xml:space="preserve">ownstream </w:t>
      </w:r>
      <w:r w:rsidR="005E28FA">
        <w:t>P</w:t>
      </w:r>
      <w:r w:rsidR="00FF39F8">
        <w:t>artners</w:t>
      </w:r>
      <w:r w:rsidR="008D0DFD">
        <w:t>,</w:t>
      </w:r>
      <w:bookmarkEnd w:id="34"/>
    </w:p>
    <w:bookmarkEnd w:id="33"/>
    <w:p w14:paraId="7CAC5721" w14:textId="4D445982" w:rsidR="00EE56A7" w:rsidRPr="00211551" w:rsidRDefault="00EE56A7" w:rsidP="00286DBE">
      <w:pPr>
        <w:pStyle w:val="MRheading3"/>
        <w:numPr>
          <w:ilvl w:val="0"/>
          <w:numId w:val="0"/>
        </w:numPr>
        <w:ind w:left="720" w:firstLine="710"/>
      </w:pPr>
      <w:r>
        <w:t xml:space="preserve">and in </w:t>
      </w:r>
      <w:r w:rsidR="008D0DFD">
        <w:t xml:space="preserve">each case in </w:t>
      </w:r>
      <w:r>
        <w:t>such format</w:t>
      </w:r>
      <w:r w:rsidRPr="00AD5A65">
        <w:t xml:space="preserve"> as</w:t>
      </w:r>
      <w:r>
        <w:t xml:space="preserve"> is </w:t>
      </w:r>
      <w:r w:rsidR="002A3BA5">
        <w:t xml:space="preserve">required pursuant to </w:t>
      </w:r>
      <w:r>
        <w:t xml:space="preserve">paragraph </w:t>
      </w:r>
      <w:r>
        <w:fldChar w:fldCharType="begin"/>
      </w:r>
      <w:r>
        <w:instrText xml:space="preserve"> REF _Ref319323791 \r \h </w:instrText>
      </w:r>
      <w:r w:rsidR="00EC5CC0">
        <w:instrText xml:space="preserve"> \* MERGEFORMAT </w:instrText>
      </w:r>
      <w:r>
        <w:fldChar w:fldCharType="separate"/>
      </w:r>
      <w:r w:rsidR="006B5F2E">
        <w:t>6.3</w:t>
      </w:r>
      <w:r>
        <w:fldChar w:fldCharType="end"/>
      </w:r>
      <w:r w:rsidR="005A633D">
        <w:t xml:space="preserve"> </w:t>
      </w:r>
      <w:r>
        <w:t>above</w:t>
      </w:r>
      <w:r w:rsidRPr="00AD5A65">
        <w:t>.</w:t>
      </w:r>
      <w:bookmarkEnd w:id="32"/>
    </w:p>
    <w:p w14:paraId="7A977BE1" w14:textId="3F1CB4F0" w:rsidR="00EE56A7" w:rsidRPr="005C5086" w:rsidRDefault="01A3A62F">
      <w:pPr>
        <w:pStyle w:val="MRheading2"/>
        <w:spacing w:line="240" w:lineRule="auto"/>
      </w:pPr>
      <w:r w:rsidRPr="7D6BE9DE">
        <w:rPr>
          <w:rFonts w:cs="Arial"/>
        </w:rPr>
        <w:t xml:space="preserve">Where the </w:t>
      </w:r>
      <w:r w:rsidR="7D62A095" w:rsidRPr="7D6BE9DE">
        <w:rPr>
          <w:rFonts w:cs="Arial"/>
        </w:rPr>
        <w:t>Lead Partner</w:t>
      </w:r>
      <w:r w:rsidRPr="7D6BE9DE">
        <w:rPr>
          <w:rFonts w:cs="Arial"/>
        </w:rPr>
        <w:t xml:space="preserve"> has obtained funding from a third party for its delivery of part of the </w:t>
      </w:r>
      <w:r w:rsidR="4C574C7F" w:rsidRPr="7D6BE9DE">
        <w:rPr>
          <w:rFonts w:cs="Arial"/>
        </w:rPr>
        <w:t>GHWP</w:t>
      </w:r>
      <w:r w:rsidR="20F98438" w:rsidRPr="7D6BE9DE">
        <w:rPr>
          <w:rFonts w:cs="Arial"/>
        </w:rPr>
        <w:t xml:space="preserve"> project</w:t>
      </w:r>
      <w:r w:rsidRPr="7D6BE9DE">
        <w:rPr>
          <w:rFonts w:cs="Arial"/>
        </w:rPr>
        <w:t xml:space="preserve">, the </w:t>
      </w:r>
      <w:r w:rsidR="7D62A095" w:rsidRPr="7D6BE9DE">
        <w:rPr>
          <w:rFonts w:cs="Arial"/>
        </w:rPr>
        <w:t>Lead Partner</w:t>
      </w:r>
      <w:r w:rsidRPr="7D6BE9DE">
        <w:rPr>
          <w:rFonts w:cs="Arial"/>
        </w:rPr>
        <w:t xml:space="preserve"> shall include the amount of such funding in its </w:t>
      </w:r>
      <w:r w:rsidR="70A5EF0A" w:rsidRPr="7D6BE9DE">
        <w:rPr>
          <w:rFonts w:cs="Arial"/>
        </w:rPr>
        <w:t>F</w:t>
      </w:r>
      <w:r w:rsidRPr="7D6BE9DE">
        <w:rPr>
          <w:rFonts w:cs="Arial"/>
        </w:rPr>
        <w:t xml:space="preserve">inancial </w:t>
      </w:r>
      <w:r w:rsidR="70A5EF0A" w:rsidRPr="7D6BE9DE">
        <w:rPr>
          <w:rFonts w:cs="Arial"/>
        </w:rPr>
        <w:t xml:space="preserve">Reports </w:t>
      </w:r>
      <w:r w:rsidRPr="7D6BE9DE">
        <w:rPr>
          <w:rFonts w:cs="Arial"/>
        </w:rPr>
        <w:t>together with details of how such funding has been used.</w:t>
      </w:r>
    </w:p>
    <w:p w14:paraId="20786059" w14:textId="41A34A92" w:rsidR="00EE56A7" w:rsidRPr="008F1467" w:rsidRDefault="00EE56A7">
      <w:pPr>
        <w:pStyle w:val="MRheading2"/>
        <w:spacing w:line="240" w:lineRule="auto"/>
      </w:pPr>
      <w:r w:rsidRPr="00AD5A65">
        <w:rPr>
          <w:rFonts w:cs="Arial"/>
          <w:szCs w:val="22"/>
        </w:rPr>
        <w:t xml:space="preserve">The </w:t>
      </w:r>
      <w:r w:rsidR="00632356">
        <w:rPr>
          <w:rFonts w:cs="Arial"/>
          <w:szCs w:val="22"/>
        </w:rPr>
        <w:t>Lead Partner</w:t>
      </w:r>
      <w:r w:rsidRPr="00AD5A65">
        <w:rPr>
          <w:rFonts w:cs="Arial"/>
          <w:szCs w:val="22"/>
        </w:rPr>
        <w:t xml:space="preserve"> shall on request provide THET with </w:t>
      </w:r>
      <w:r>
        <w:rPr>
          <w:rFonts w:cs="Arial"/>
          <w:szCs w:val="22"/>
        </w:rPr>
        <w:t>further</w:t>
      </w:r>
      <w:r w:rsidRPr="00AD5A65">
        <w:rPr>
          <w:rFonts w:cs="Arial"/>
          <w:szCs w:val="22"/>
        </w:rPr>
        <w:t xml:space="preserve"> information, explanations and documents as THET may reasonably require in order for it to establish that the Grant has been used properly</w:t>
      </w:r>
      <w:r w:rsidR="00B33CCE">
        <w:rPr>
          <w:rFonts w:cs="Arial"/>
          <w:szCs w:val="22"/>
        </w:rPr>
        <w:t xml:space="preserve"> and</w:t>
      </w:r>
      <w:r w:rsidRPr="00AD5A65">
        <w:rPr>
          <w:rFonts w:cs="Arial"/>
          <w:szCs w:val="22"/>
        </w:rPr>
        <w:t xml:space="preserve"> in accordance with this Agreement</w:t>
      </w:r>
      <w:r w:rsidR="003513C5">
        <w:rPr>
          <w:rFonts w:cs="Arial"/>
          <w:szCs w:val="22"/>
        </w:rPr>
        <w:t xml:space="preserve">, including any requests in order for THET to undertake the necessary due diligence, actions and determinations under paragraph </w:t>
      </w:r>
      <w:r w:rsidR="003513C5">
        <w:rPr>
          <w:rFonts w:cs="Arial"/>
          <w:szCs w:val="22"/>
        </w:rPr>
        <w:fldChar w:fldCharType="begin"/>
      </w:r>
      <w:r w:rsidR="003513C5">
        <w:rPr>
          <w:rFonts w:cs="Arial"/>
          <w:szCs w:val="22"/>
        </w:rPr>
        <w:instrText xml:space="preserve"> REF _Ref145665475 \r \h </w:instrText>
      </w:r>
      <w:r w:rsidR="003513C5">
        <w:rPr>
          <w:rFonts w:cs="Arial"/>
          <w:szCs w:val="22"/>
        </w:rPr>
      </w:r>
      <w:r w:rsidR="003513C5">
        <w:rPr>
          <w:rFonts w:cs="Arial"/>
          <w:szCs w:val="22"/>
        </w:rPr>
        <w:fldChar w:fldCharType="separate"/>
      </w:r>
      <w:r w:rsidR="00CA2CE8">
        <w:rPr>
          <w:rFonts w:cs="Arial"/>
          <w:szCs w:val="22"/>
        </w:rPr>
        <w:t>6.14</w:t>
      </w:r>
      <w:r w:rsidR="003513C5">
        <w:rPr>
          <w:rFonts w:cs="Arial"/>
          <w:szCs w:val="22"/>
        </w:rPr>
        <w:fldChar w:fldCharType="end"/>
      </w:r>
      <w:r w:rsidRPr="00AD5A65">
        <w:rPr>
          <w:rFonts w:cs="Arial"/>
          <w:szCs w:val="22"/>
        </w:rPr>
        <w:t>.</w:t>
      </w:r>
    </w:p>
    <w:p w14:paraId="451508AE" w14:textId="6DE4E326" w:rsidR="00EE56A7" w:rsidRPr="00295439" w:rsidRDefault="00EE56A7">
      <w:pPr>
        <w:pStyle w:val="MRheading2"/>
        <w:spacing w:line="240" w:lineRule="auto"/>
        <w:rPr>
          <w:rFonts w:cs="Arial"/>
          <w:szCs w:val="22"/>
        </w:rPr>
      </w:pPr>
      <w:r w:rsidRPr="00AD5A65">
        <w:rPr>
          <w:rFonts w:cs="Arial"/>
          <w:szCs w:val="22"/>
        </w:rPr>
        <w:t xml:space="preserve">The </w:t>
      </w:r>
      <w:r w:rsidR="00632356">
        <w:rPr>
          <w:rFonts w:cs="Arial"/>
          <w:szCs w:val="22"/>
        </w:rPr>
        <w:t>Lead Partner</w:t>
      </w:r>
      <w:r w:rsidRPr="00AD5A65">
        <w:rPr>
          <w:rFonts w:cs="Arial"/>
          <w:szCs w:val="22"/>
        </w:rPr>
        <w:t xml:space="preserve"> shall </w:t>
      </w:r>
      <w:r>
        <w:rPr>
          <w:rFonts w:cs="Arial"/>
          <w:szCs w:val="22"/>
        </w:rPr>
        <w:t>permit any person authorised by TH</w:t>
      </w:r>
      <w:r w:rsidRPr="00AD5A65">
        <w:rPr>
          <w:rFonts w:cs="Arial"/>
          <w:szCs w:val="22"/>
        </w:rPr>
        <w:t xml:space="preserve">ET such reasonable access to its employees, agents, </w:t>
      </w:r>
      <w:r>
        <w:rPr>
          <w:rFonts w:cs="Arial"/>
          <w:szCs w:val="22"/>
        </w:rPr>
        <w:t>premises</w:t>
      </w:r>
      <w:r w:rsidRPr="00AD5A65">
        <w:rPr>
          <w:rFonts w:cs="Arial"/>
          <w:szCs w:val="22"/>
        </w:rPr>
        <w:t xml:space="preserve">, facilities and records, for the purpose of discussing, monitoring and evaluating the </w:t>
      </w:r>
      <w:r w:rsidR="00632356">
        <w:rPr>
          <w:rFonts w:cs="Arial"/>
          <w:szCs w:val="22"/>
        </w:rPr>
        <w:t>Lead Partner</w:t>
      </w:r>
      <w:r w:rsidRPr="00AD5A65">
        <w:rPr>
          <w:rFonts w:cs="Arial"/>
          <w:szCs w:val="22"/>
        </w:rPr>
        <w:t>'s fulfilment of the conditions of this Agreement and shall, if so required, provide appropriate oral or written explanations from them.</w:t>
      </w:r>
    </w:p>
    <w:p w14:paraId="52FAC697" w14:textId="5E2D89CA" w:rsidR="00EE56A7" w:rsidRPr="00295439" w:rsidRDefault="01A3A62F"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shall permit any person authorised by THET and/or </w:t>
      </w:r>
      <w:r w:rsidR="117E5794" w:rsidRPr="7D6BE9DE">
        <w:rPr>
          <w:rFonts w:cs="Arial"/>
        </w:rPr>
        <w:t>DHSC</w:t>
      </w:r>
      <w:r w:rsidRPr="7D6BE9DE">
        <w:rPr>
          <w:rFonts w:cs="Arial"/>
        </w:rPr>
        <w:t xml:space="preserve"> to visit the </w:t>
      </w:r>
      <w:r w:rsidR="293ED159" w:rsidRPr="7D6BE9DE">
        <w:rPr>
          <w:rFonts w:cs="Arial"/>
        </w:rPr>
        <w:t>Lead Partner and</w:t>
      </w:r>
      <w:r w:rsidR="30D0B349" w:rsidRPr="7D6BE9DE">
        <w:rPr>
          <w:rFonts w:cs="Arial"/>
        </w:rPr>
        <w:t xml:space="preserve"> shall procure that such persons may </w:t>
      </w:r>
      <w:r w:rsidR="1A4F01C2" w:rsidRPr="7D6BE9DE">
        <w:rPr>
          <w:rFonts w:cs="Arial"/>
        </w:rPr>
        <w:t>also visit</w:t>
      </w:r>
      <w:r w:rsidR="21309100" w:rsidRPr="7D6BE9DE">
        <w:rPr>
          <w:rFonts w:cs="Arial"/>
        </w:rPr>
        <w:t xml:space="preserve"> any </w:t>
      </w:r>
      <w:r w:rsidRPr="7D6BE9DE">
        <w:rPr>
          <w:rFonts w:cs="Arial"/>
        </w:rPr>
        <w:t xml:space="preserve">Partner at any time </w:t>
      </w:r>
      <w:r w:rsidR="38DE098F" w:rsidRPr="7D6BE9DE">
        <w:rPr>
          <w:rFonts w:cs="Arial"/>
        </w:rPr>
        <w:t>upon</w:t>
      </w:r>
      <w:r w:rsidRPr="7D6BE9DE">
        <w:rPr>
          <w:rFonts w:cs="Arial"/>
        </w:rPr>
        <w:t xml:space="preserve"> notice to monitor the delivery of the </w:t>
      </w:r>
      <w:r w:rsidR="4C574C7F" w:rsidRPr="7D6BE9DE">
        <w:rPr>
          <w:rFonts w:cs="Arial"/>
        </w:rPr>
        <w:t>GHWP</w:t>
      </w:r>
      <w:r w:rsidRPr="7D6BE9DE">
        <w:rPr>
          <w:rFonts w:cs="Arial"/>
        </w:rPr>
        <w:t xml:space="preserve"> </w:t>
      </w:r>
      <w:r w:rsidR="20F98438" w:rsidRPr="7D6BE9DE">
        <w:rPr>
          <w:rFonts w:cs="Arial"/>
        </w:rPr>
        <w:t>project</w:t>
      </w:r>
      <w:r w:rsidR="1A4F01C2" w:rsidRPr="7D6BE9DE">
        <w:rPr>
          <w:rFonts w:cs="Arial"/>
        </w:rPr>
        <w:t>,</w:t>
      </w:r>
      <w:r w:rsidR="20F98438" w:rsidRPr="7D6BE9DE">
        <w:rPr>
          <w:rFonts w:cs="Arial"/>
        </w:rPr>
        <w:t xml:space="preserve"> </w:t>
      </w:r>
      <w:r w:rsidRPr="7D6BE9DE">
        <w:rPr>
          <w:rFonts w:cs="Arial"/>
        </w:rPr>
        <w:t xml:space="preserve">either in the United Kingdom or overseas. Where, in its reasonable opinion, either THET or </w:t>
      </w:r>
      <w:r w:rsidR="117E5794" w:rsidRPr="7D6BE9DE">
        <w:rPr>
          <w:rFonts w:cs="Arial"/>
        </w:rPr>
        <w:t>DHSC</w:t>
      </w:r>
      <w:r w:rsidRPr="7D6BE9DE">
        <w:rPr>
          <w:rFonts w:cs="Arial"/>
        </w:rPr>
        <w:t xml:space="preserve"> considers that additional visits are necessary to monitor the </w:t>
      </w:r>
      <w:r w:rsidR="4C574C7F" w:rsidRPr="7D6BE9DE">
        <w:rPr>
          <w:rFonts w:cs="Arial"/>
        </w:rPr>
        <w:t>GHWP</w:t>
      </w:r>
      <w:r w:rsidRPr="7D6BE9DE">
        <w:rPr>
          <w:rFonts w:cs="Arial"/>
        </w:rPr>
        <w:t>, it shall be entitled to authorise any person to make such visits on its behalf.</w:t>
      </w:r>
    </w:p>
    <w:p w14:paraId="79A15E5A" w14:textId="50307B1F" w:rsidR="00EE56A7" w:rsidRPr="00B720E1" w:rsidRDefault="01A3A62F">
      <w:pPr>
        <w:pStyle w:val="MRheading2"/>
        <w:spacing w:line="240" w:lineRule="auto"/>
      </w:pPr>
      <w:bookmarkStart w:id="35" w:name="_Ref124786107"/>
      <w:r w:rsidRPr="7D6BE9DE">
        <w:rPr>
          <w:rFonts w:cs="Arial"/>
        </w:rPr>
        <w:t xml:space="preserve">The </w:t>
      </w:r>
      <w:r w:rsidR="7D62A095" w:rsidRPr="7D6BE9DE">
        <w:rPr>
          <w:rFonts w:cs="Arial"/>
        </w:rPr>
        <w:t>Lead Partner</w:t>
      </w:r>
      <w:r w:rsidRPr="7D6BE9DE">
        <w:rPr>
          <w:rFonts w:cs="Arial"/>
        </w:rPr>
        <w:t xml:space="preserve"> shall, </w:t>
      </w:r>
      <w:r w:rsidR="1184FE46" w:rsidRPr="7D6BE9DE">
        <w:rPr>
          <w:rFonts w:cs="Arial"/>
        </w:rPr>
        <w:t xml:space="preserve">on the final day of the Grant Period, or </w:t>
      </w:r>
      <w:r w:rsidRPr="7D6BE9DE">
        <w:rPr>
          <w:rFonts w:cs="Arial"/>
        </w:rPr>
        <w:t xml:space="preserve">within </w:t>
      </w:r>
      <w:r w:rsidR="2BF909F6" w:rsidRPr="7D6BE9DE">
        <w:rPr>
          <w:rFonts w:cs="Arial"/>
        </w:rPr>
        <w:t>ten</w:t>
      </w:r>
      <w:r w:rsidR="041E7054" w:rsidRPr="7D6BE9DE">
        <w:rPr>
          <w:rFonts w:cs="Arial"/>
        </w:rPr>
        <w:t xml:space="preserve"> (1</w:t>
      </w:r>
      <w:r w:rsidR="2BF909F6" w:rsidRPr="7D6BE9DE">
        <w:rPr>
          <w:rFonts w:cs="Arial"/>
        </w:rPr>
        <w:t>0</w:t>
      </w:r>
      <w:r w:rsidRPr="7D6BE9DE">
        <w:rPr>
          <w:rFonts w:cs="Arial"/>
        </w:rPr>
        <w:t xml:space="preserve">) days of the termination of this Agreement for any other reason, provide THET with a final report in the form requested by THET which shall detail the budget and all expenditure in connection with the </w:t>
      </w:r>
      <w:r w:rsidR="4C574C7F" w:rsidRPr="7D6BE9DE">
        <w:rPr>
          <w:rFonts w:cs="Arial"/>
        </w:rPr>
        <w:t>GHWP</w:t>
      </w:r>
      <w:r w:rsidR="20F98438" w:rsidRPr="7D6BE9DE">
        <w:rPr>
          <w:rFonts w:cs="Arial"/>
        </w:rPr>
        <w:t xml:space="preserve"> project</w:t>
      </w:r>
      <w:r w:rsidRPr="7D6BE9DE">
        <w:rPr>
          <w:rFonts w:cs="Arial"/>
        </w:rPr>
        <w:t xml:space="preserve"> and demonstrate whether the </w:t>
      </w:r>
      <w:r w:rsidR="4C574C7F" w:rsidRPr="7D6BE9DE">
        <w:rPr>
          <w:rFonts w:cs="Arial"/>
        </w:rPr>
        <w:t>GHWP</w:t>
      </w:r>
      <w:r w:rsidR="20F98438" w:rsidRPr="7D6BE9DE">
        <w:rPr>
          <w:rFonts w:cs="Arial"/>
        </w:rPr>
        <w:t xml:space="preserve"> </w:t>
      </w:r>
      <w:r w:rsidRPr="7D6BE9DE">
        <w:rPr>
          <w:rFonts w:cs="Arial"/>
        </w:rPr>
        <w:t>has been successfully and properly completed</w:t>
      </w:r>
      <w:r w:rsidR="0A4A0649" w:rsidRPr="7D6BE9DE">
        <w:rPr>
          <w:rFonts w:cs="Arial"/>
        </w:rPr>
        <w:t xml:space="preserve"> in accordance with THET’s, DHSC’s and</w:t>
      </w:r>
      <w:r w:rsidR="6CB8F466" w:rsidRPr="7D6BE9DE">
        <w:rPr>
          <w:rFonts w:cs="Arial"/>
        </w:rPr>
        <w:t xml:space="preserve"> the</w:t>
      </w:r>
      <w:r w:rsidR="0A4A0649" w:rsidRPr="7D6BE9DE">
        <w:rPr>
          <w:rFonts w:cs="Arial"/>
        </w:rPr>
        <w:t xml:space="preserve">  i</w:t>
      </w:r>
      <w:r w:rsidR="4C574C7F" w:rsidRPr="7D6BE9DE">
        <w:rPr>
          <w:rFonts w:cs="Arial"/>
        </w:rPr>
        <w:t>GHWP</w:t>
      </w:r>
      <w:r w:rsidR="636B263A" w:rsidRPr="7D6BE9DE">
        <w:rPr>
          <w:rFonts w:cs="Arial"/>
        </w:rPr>
        <w:t xml:space="preserve"> requirements.</w:t>
      </w:r>
      <w:bookmarkEnd w:id="35"/>
    </w:p>
    <w:p w14:paraId="01001747" w14:textId="61BC9876" w:rsidR="00FC5D22" w:rsidRPr="005F72E1" w:rsidRDefault="6501DFA8">
      <w:pPr>
        <w:pStyle w:val="MRheading2"/>
        <w:spacing w:line="240" w:lineRule="auto"/>
      </w:pPr>
      <w:r w:rsidRPr="7D6BE9DE">
        <w:rPr>
          <w:rFonts w:cs="Arial"/>
        </w:rPr>
        <w:t xml:space="preserve">The Lead Partner and all relevant </w:t>
      </w:r>
      <w:r w:rsidR="7763782C" w:rsidRPr="7D6BE9DE">
        <w:rPr>
          <w:rFonts w:cs="Arial"/>
        </w:rPr>
        <w:t xml:space="preserve">Partner </w:t>
      </w:r>
      <w:r w:rsidRPr="7D6BE9DE">
        <w:rPr>
          <w:rFonts w:cs="Arial"/>
        </w:rPr>
        <w:t xml:space="preserve">individuals will attend </w:t>
      </w:r>
      <w:r w:rsidR="003C00A7">
        <w:rPr>
          <w:rFonts w:cs="Arial"/>
        </w:rPr>
        <w:t>six</w:t>
      </w:r>
      <w:r w:rsidR="1E279559" w:rsidRPr="7D6BE9DE">
        <w:rPr>
          <w:rFonts w:cs="Arial"/>
        </w:rPr>
        <w:t>-monthly</w:t>
      </w:r>
      <w:r w:rsidR="22E551E4" w:rsidRPr="7D6BE9DE">
        <w:rPr>
          <w:rFonts w:cs="Arial"/>
        </w:rPr>
        <w:t xml:space="preserve"> </w:t>
      </w:r>
      <w:r w:rsidRPr="7D6BE9DE">
        <w:rPr>
          <w:rFonts w:cs="Arial"/>
        </w:rPr>
        <w:t>project progress update meeting</w:t>
      </w:r>
      <w:r w:rsidR="31B24CCF" w:rsidRPr="7D6BE9DE">
        <w:rPr>
          <w:rFonts w:cs="Arial"/>
        </w:rPr>
        <w:t>s</w:t>
      </w:r>
      <w:r w:rsidRPr="7D6BE9DE">
        <w:rPr>
          <w:rFonts w:cs="Arial"/>
        </w:rPr>
        <w:t xml:space="preserve"> with THET</w:t>
      </w:r>
      <w:r w:rsidR="06150479" w:rsidRPr="7D6BE9DE">
        <w:rPr>
          <w:rFonts w:cs="Arial"/>
        </w:rPr>
        <w:t>.</w:t>
      </w:r>
    </w:p>
    <w:p w14:paraId="4410625C" w14:textId="3FCD55F7" w:rsidR="00C63839" w:rsidRDefault="00C63839">
      <w:pPr>
        <w:pStyle w:val="MRheading2"/>
        <w:spacing w:line="240" w:lineRule="auto"/>
      </w:pPr>
      <w:r w:rsidRPr="00D67AEC">
        <w:t xml:space="preserve">The </w:t>
      </w:r>
      <w:r w:rsidR="0098070C">
        <w:t>Lead Partner</w:t>
      </w:r>
      <w:r w:rsidR="0098070C" w:rsidRPr="00D67AEC">
        <w:t xml:space="preserve"> </w:t>
      </w:r>
      <w:r w:rsidRPr="00D67AEC">
        <w:t xml:space="preserve">must provide </w:t>
      </w:r>
      <w:r w:rsidR="00BB23F7">
        <w:t>THET</w:t>
      </w:r>
      <w:r w:rsidR="0099039C">
        <w:t xml:space="preserve"> and/or </w:t>
      </w:r>
      <w:r w:rsidR="002F6F1D">
        <w:t xml:space="preserve">DHSC </w:t>
      </w:r>
      <w:r w:rsidRPr="00D67AEC">
        <w:t>with a</w:t>
      </w:r>
      <w:r w:rsidR="00286DBE">
        <w:t>ll reasonable assistance and co-</w:t>
      </w:r>
      <w:r w:rsidRPr="00D67AEC">
        <w:t xml:space="preserve">operation in relation to any ad-hoc information requests made by </w:t>
      </w:r>
      <w:r w:rsidR="0099039C">
        <w:t>THET and/or</w:t>
      </w:r>
      <w:r w:rsidR="00004878">
        <w:t xml:space="preserve"> </w:t>
      </w:r>
      <w:r w:rsidR="002F6F1D">
        <w:t>DHSC</w:t>
      </w:r>
      <w:r w:rsidRPr="00D67AEC">
        <w:t xml:space="preserve"> in relation to the Funded Activities</w:t>
      </w:r>
      <w:r>
        <w:t>.</w:t>
      </w:r>
    </w:p>
    <w:p w14:paraId="345CFB1E" w14:textId="6C97DB16" w:rsidR="001A075D" w:rsidRPr="001A075D" w:rsidRDefault="001A075D">
      <w:pPr>
        <w:pStyle w:val="MRheading2"/>
        <w:spacing w:line="240" w:lineRule="auto"/>
        <w:rPr>
          <w:color w:val="000000"/>
        </w:rPr>
      </w:pPr>
      <w:r w:rsidRPr="001A075D">
        <w:lastRenderedPageBreak/>
        <w:t xml:space="preserve">The </w:t>
      </w:r>
      <w:r w:rsidR="0098070C">
        <w:t>Lead Partner</w:t>
      </w:r>
      <w:r w:rsidR="0098070C" w:rsidRPr="00D67AEC">
        <w:t xml:space="preserve"> </w:t>
      </w:r>
      <w:r w:rsidRPr="001A075D">
        <w:t xml:space="preserve">will notify </w:t>
      </w:r>
      <w:r w:rsidR="0099039C">
        <w:t>THET</w:t>
      </w:r>
      <w:r w:rsidRPr="001A075D">
        <w:t xml:space="preserve"> </w:t>
      </w:r>
      <w:r w:rsidR="00D02895">
        <w:t>immediately upon becoming aware of</w:t>
      </w:r>
      <w:r w:rsidRPr="001A075D">
        <w:t>:</w:t>
      </w:r>
    </w:p>
    <w:p w14:paraId="6E1A84AA" w14:textId="1BDCDCBE" w:rsidR="001A075D" w:rsidRPr="001A075D" w:rsidRDefault="001A075D">
      <w:pPr>
        <w:pStyle w:val="MRheading3"/>
        <w:spacing w:line="240" w:lineRule="auto"/>
        <w:rPr>
          <w:color w:val="000000"/>
        </w:rPr>
      </w:pPr>
      <w:r w:rsidRPr="001A075D">
        <w:t xml:space="preserve">any financial, administrative, managerial difficulties that may hinder or prevent the </w:t>
      </w:r>
      <w:r w:rsidR="0098070C">
        <w:t>Lead Partner</w:t>
      </w:r>
      <w:r w:rsidR="0098070C" w:rsidRPr="00D67AEC">
        <w:t xml:space="preserve"> </w:t>
      </w:r>
      <w:r w:rsidRPr="001A075D">
        <w:t xml:space="preserve">from fulfilling its obligations under the Agreement; </w:t>
      </w:r>
    </w:p>
    <w:p w14:paraId="0A606BA4" w14:textId="2A1B5A7A" w:rsidR="001A075D" w:rsidRPr="001A075D" w:rsidRDefault="001A075D">
      <w:pPr>
        <w:pStyle w:val="MRheading3"/>
        <w:spacing w:line="240" w:lineRule="auto"/>
        <w:rPr>
          <w:color w:val="000000"/>
        </w:rPr>
      </w:pPr>
      <w:r w:rsidRPr="001A075D">
        <w:t>any actual or potential breach</w:t>
      </w:r>
      <w:r w:rsidR="00561580">
        <w:t xml:space="preserve"> of </w:t>
      </w:r>
      <w:r w:rsidR="00D02895">
        <w:t>this</w:t>
      </w:r>
      <w:r w:rsidR="00561580">
        <w:t xml:space="preserve"> Agreement</w:t>
      </w:r>
      <w:r w:rsidRPr="001A075D">
        <w:t>;</w:t>
      </w:r>
      <w:r w:rsidR="00073E63">
        <w:t xml:space="preserve"> </w:t>
      </w:r>
      <w:r w:rsidR="00A667DA">
        <w:t>or</w:t>
      </w:r>
    </w:p>
    <w:p w14:paraId="01F5236F" w14:textId="56FC48C9" w:rsidR="001A075D" w:rsidRPr="00AB19E0" w:rsidRDefault="001A075D">
      <w:pPr>
        <w:pStyle w:val="MRheading3"/>
        <w:spacing w:line="240" w:lineRule="auto"/>
        <w:rPr>
          <w:color w:val="000000"/>
        </w:rPr>
      </w:pPr>
      <w:r w:rsidRPr="001A075D">
        <w:t>any change in the information on costs (whether actual or estimated) of carrying out the Funded Activities or any event which materially affects the continued accuracy of such information.</w:t>
      </w:r>
    </w:p>
    <w:p w14:paraId="261E19C6" w14:textId="77777777" w:rsidR="002E10BC" w:rsidRDefault="00AB19E0" w:rsidP="00342B73">
      <w:pPr>
        <w:pStyle w:val="MRheading2"/>
        <w:spacing w:line="240" w:lineRule="auto"/>
      </w:pPr>
      <w:r>
        <w:t xml:space="preserve">The Lead Partner shall maintain </w:t>
      </w:r>
      <w:r w:rsidR="006F501C">
        <w:t>a record of all gifts, both given and received, in connection with the Grant and any Funded Activity and provide this to THET</w:t>
      </w:r>
      <w:r w:rsidR="002E10BC">
        <w:t>:</w:t>
      </w:r>
    </w:p>
    <w:p w14:paraId="104D6D70" w14:textId="5BC0B4B1" w:rsidR="002E10BC" w:rsidRDefault="004E572A" w:rsidP="002E10BC">
      <w:pPr>
        <w:pStyle w:val="MRheading3"/>
      </w:pPr>
      <w:r>
        <w:t>a</w:t>
      </w:r>
      <w:r w:rsidR="00D0294B">
        <w:t>nnua</w:t>
      </w:r>
      <w:r w:rsidR="00C00A93">
        <w:t>l</w:t>
      </w:r>
      <w:r w:rsidR="00D0294B">
        <w:t>ly</w:t>
      </w:r>
      <w:r w:rsidR="005D1DCC">
        <w:t>,</w:t>
      </w:r>
      <w:r w:rsidR="00D0294B">
        <w:t xml:space="preserve"> alongside its</w:t>
      </w:r>
      <w:r w:rsidR="000F400A">
        <w:t xml:space="preserve"> annual accounts</w:t>
      </w:r>
      <w:r w:rsidR="002E10BC">
        <w:t>; and</w:t>
      </w:r>
    </w:p>
    <w:p w14:paraId="27811AA4" w14:textId="7D3B93F0" w:rsidR="00AB19E0" w:rsidRDefault="002E10BC" w:rsidP="002E10BC">
      <w:pPr>
        <w:pStyle w:val="MRheading3"/>
      </w:pPr>
      <w:r>
        <w:t xml:space="preserve">as soon as reasonably </w:t>
      </w:r>
      <w:r w:rsidR="005D1DCC">
        <w:t xml:space="preserve">practicable </w:t>
      </w:r>
      <w:r>
        <w:t>upon</w:t>
      </w:r>
      <w:r w:rsidR="00D0294B">
        <w:t xml:space="preserve"> THET’s request</w:t>
      </w:r>
      <w:r w:rsidR="006F501C">
        <w:t xml:space="preserve">. </w:t>
      </w:r>
    </w:p>
    <w:p w14:paraId="5CEB16DC" w14:textId="77777777" w:rsidR="003513C5" w:rsidRPr="003513C5" w:rsidRDefault="003513C5" w:rsidP="003513C5">
      <w:pPr>
        <w:pStyle w:val="MRheading2"/>
        <w:spacing w:line="240" w:lineRule="auto"/>
        <w:rPr>
          <w:rFonts w:cs="Arial"/>
          <w:szCs w:val="22"/>
        </w:rPr>
      </w:pPr>
      <w:bookmarkStart w:id="36" w:name="_Ref145665475"/>
      <w:r>
        <w:t>Prior to making any payments under paragraph 2, the parties acknowledge that THET shall undertake due diligence and take the necessary steps prior to transferring the Grant and at regular intervals thoughout the Grant Period in order to assess the internal controls and systems of the Lead Partner (and Partners, where necessary) and determine:</w:t>
      </w:r>
      <w:bookmarkEnd w:id="36"/>
      <w:r>
        <w:t xml:space="preserve"> </w:t>
      </w:r>
    </w:p>
    <w:p w14:paraId="41D8D8FB" w14:textId="77777777" w:rsidR="003513C5" w:rsidRDefault="003513C5" w:rsidP="003513C5">
      <w:pPr>
        <w:pStyle w:val="MRheading3"/>
        <w:spacing w:line="240" w:lineRule="auto"/>
      </w:pPr>
      <w:r>
        <w:t>the reliability, integrity and efficiency of the Lead Partner’s controls, systems and processes including compliance with applicable legislation, regulations, rules, policies and procedures;</w:t>
      </w:r>
    </w:p>
    <w:p w14:paraId="3708E49C" w14:textId="77777777" w:rsidR="003513C5" w:rsidRDefault="003513C5" w:rsidP="003513C5">
      <w:pPr>
        <w:pStyle w:val="MRheading3"/>
        <w:spacing w:line="240" w:lineRule="auto"/>
      </w:pPr>
      <w:r>
        <w:t>whether the Lead Partner can successfully deliver the relevant outputs based on its processes, past experience and whether they have the sufficient staff capacity and capability available;</w:t>
      </w:r>
    </w:p>
    <w:p w14:paraId="6B36FCD3" w14:textId="77777777" w:rsidR="003513C5" w:rsidRDefault="003513C5" w:rsidP="003513C5">
      <w:pPr>
        <w:pStyle w:val="MRheading3"/>
        <w:spacing w:line="240" w:lineRule="auto"/>
      </w:pPr>
      <w:r>
        <w:t>the Lead Partner’s ability to correctly manage and account for aid monies and assets as well as its financial health; and</w:t>
      </w:r>
    </w:p>
    <w:p w14:paraId="71A75B51" w14:textId="6599FB50" w:rsidR="003513C5" w:rsidRDefault="003513C5" w:rsidP="003513C5">
      <w:pPr>
        <w:pStyle w:val="MRheading3"/>
        <w:spacing w:line="240" w:lineRule="auto"/>
      </w:pPr>
      <w:r>
        <w:t>where appropriate, whether the Lead Partner has sufficient capacity and capability to properly monitor and control its implementing partners.</w:t>
      </w:r>
    </w:p>
    <w:p w14:paraId="3EAD982F" w14:textId="77777777" w:rsidR="00EE56A7" w:rsidRPr="008F1467" w:rsidRDefault="00EE56A7">
      <w:pPr>
        <w:pStyle w:val="MRheading1"/>
        <w:spacing w:line="240" w:lineRule="auto"/>
      </w:pPr>
      <w:r w:rsidRPr="00295439">
        <w:t>Acknowledgment</w:t>
      </w:r>
      <w:r>
        <w:t xml:space="preserve"> and Publicity</w:t>
      </w:r>
    </w:p>
    <w:p w14:paraId="24B415B9" w14:textId="53FC99F9" w:rsidR="00EE56A7" w:rsidRDefault="01A3A62F" w:rsidP="7D6BE9DE">
      <w:pPr>
        <w:pStyle w:val="MRheading2"/>
        <w:spacing w:line="240" w:lineRule="auto"/>
        <w:rPr>
          <w:rFonts w:cs="Arial"/>
        </w:rPr>
      </w:pPr>
      <w:r>
        <w:t xml:space="preserve">The </w:t>
      </w:r>
      <w:r w:rsidR="7D62A095">
        <w:t>Lead Partner</w:t>
      </w:r>
      <w:r w:rsidRPr="7D6BE9DE">
        <w:rPr>
          <w:rFonts w:cs="Arial"/>
        </w:rPr>
        <w:t xml:space="preserve"> shall acknowledge the Grant in its annual report and accounts, including an acknowledgement of </w:t>
      </w:r>
      <w:r w:rsidR="4C574C7F" w:rsidRPr="7D6BE9DE">
        <w:rPr>
          <w:rFonts w:cs="Arial"/>
        </w:rPr>
        <w:t>GHWP</w:t>
      </w:r>
      <w:r w:rsidRPr="7D6BE9DE">
        <w:rPr>
          <w:rFonts w:cs="Arial"/>
        </w:rPr>
        <w:t>, THET</w:t>
      </w:r>
      <w:r w:rsidR="4F755C23" w:rsidRPr="7D6BE9DE">
        <w:rPr>
          <w:rFonts w:cs="Arial"/>
        </w:rPr>
        <w:t xml:space="preserve"> and </w:t>
      </w:r>
      <w:r w:rsidR="2989291C" w:rsidRPr="7D6BE9DE">
        <w:rPr>
          <w:rFonts w:cs="Arial"/>
        </w:rPr>
        <w:t xml:space="preserve">the </w:t>
      </w:r>
      <w:r w:rsidR="117E5794" w:rsidRPr="7D6BE9DE">
        <w:rPr>
          <w:rFonts w:cs="Arial"/>
        </w:rPr>
        <w:t>DHSC</w:t>
      </w:r>
      <w:r w:rsidRPr="7D6BE9DE">
        <w:rPr>
          <w:rFonts w:cs="Arial"/>
        </w:rPr>
        <w:t xml:space="preserve"> (and THET’s and </w:t>
      </w:r>
      <w:r w:rsidR="117E5794" w:rsidRPr="7D6BE9DE">
        <w:rPr>
          <w:rFonts w:cs="Arial"/>
        </w:rPr>
        <w:t>DHSC</w:t>
      </w:r>
      <w:r w:rsidRPr="7D6BE9DE">
        <w:rPr>
          <w:rFonts w:cs="Arial"/>
        </w:rPr>
        <w:t>’s roles in relation to the source of the Grant</w:t>
      </w:r>
      <w:r w:rsidR="00D472E7">
        <w:rPr>
          <w:rFonts w:cs="Arial"/>
        </w:rPr>
        <w:t>)</w:t>
      </w:r>
      <w:r w:rsidRPr="7D6BE9DE">
        <w:rPr>
          <w:rFonts w:cs="Arial"/>
        </w:rPr>
        <w:t xml:space="preserve">. </w:t>
      </w:r>
    </w:p>
    <w:p w14:paraId="2BB21B19" w14:textId="4AFBAF01" w:rsidR="00EE56A7" w:rsidRDefault="01A3A62F"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shall not publish any material referring to the </w:t>
      </w:r>
      <w:r w:rsidR="4C574C7F" w:rsidRPr="7D6BE9DE">
        <w:rPr>
          <w:rFonts w:cs="Arial"/>
        </w:rPr>
        <w:t>GHWP</w:t>
      </w:r>
      <w:r w:rsidR="20F98438" w:rsidRPr="7D6BE9DE">
        <w:rPr>
          <w:rFonts w:cs="Arial"/>
        </w:rPr>
        <w:t xml:space="preserve"> project</w:t>
      </w:r>
      <w:r w:rsidRPr="7D6BE9DE">
        <w:rPr>
          <w:rFonts w:cs="Arial"/>
        </w:rPr>
        <w:t>,</w:t>
      </w:r>
      <w:r w:rsidR="00D472E7">
        <w:rPr>
          <w:rFonts w:cs="Arial"/>
        </w:rPr>
        <w:t xml:space="preserve"> this Agreement,</w:t>
      </w:r>
      <w:r w:rsidRPr="7D6BE9DE">
        <w:rPr>
          <w:rFonts w:cs="Arial"/>
        </w:rPr>
        <w:t xml:space="preserve"> THET</w:t>
      </w:r>
      <w:r w:rsidR="263D6DF7" w:rsidRPr="7D6BE9DE">
        <w:rPr>
          <w:rFonts w:cs="Arial"/>
        </w:rPr>
        <w:t xml:space="preserve"> or the</w:t>
      </w:r>
      <w:r w:rsidR="7F536A74" w:rsidRPr="7D6BE9DE">
        <w:rPr>
          <w:rFonts w:cs="Arial"/>
        </w:rPr>
        <w:t xml:space="preserve"> </w:t>
      </w:r>
      <w:r w:rsidR="117E5794" w:rsidRPr="7D6BE9DE">
        <w:rPr>
          <w:rFonts w:cs="Arial"/>
        </w:rPr>
        <w:t>DHSC</w:t>
      </w:r>
      <w:r w:rsidR="005120EC">
        <w:rPr>
          <w:rFonts w:cs="Arial"/>
        </w:rPr>
        <w:t xml:space="preserve"> </w:t>
      </w:r>
      <w:r w:rsidRPr="7D6BE9DE">
        <w:rPr>
          <w:rFonts w:cs="Arial"/>
        </w:rPr>
        <w:t xml:space="preserve">without the prior written agreement of THET or </w:t>
      </w:r>
      <w:r w:rsidR="117E5794" w:rsidRPr="7D6BE9DE">
        <w:rPr>
          <w:rFonts w:cs="Arial"/>
        </w:rPr>
        <w:t>DHSC</w:t>
      </w:r>
      <w:r w:rsidRPr="7D6BE9DE">
        <w:rPr>
          <w:rFonts w:cs="Arial"/>
        </w:rPr>
        <w:t>, as appropriate</w:t>
      </w:r>
      <w:r w:rsidR="15F32C8A" w:rsidRPr="7D6BE9DE">
        <w:rPr>
          <w:rFonts w:cs="Arial"/>
        </w:rPr>
        <w:t xml:space="preserve">, with the exception of the requirement in paragraph </w:t>
      </w:r>
      <w:r w:rsidR="6CB8F466" w:rsidRPr="7D6BE9DE">
        <w:rPr>
          <w:rFonts w:cs="Arial"/>
        </w:rPr>
        <w:t>7</w:t>
      </w:r>
      <w:r w:rsidR="15F32C8A" w:rsidRPr="7D6BE9DE">
        <w:rPr>
          <w:rFonts w:cs="Arial"/>
        </w:rPr>
        <w:t>.1</w:t>
      </w:r>
      <w:r w:rsidRPr="7D6BE9DE">
        <w:rPr>
          <w:rFonts w:cs="Arial"/>
        </w:rPr>
        <w:t xml:space="preserve">. The </w:t>
      </w:r>
      <w:r w:rsidR="7D62A095" w:rsidRPr="7D6BE9DE">
        <w:rPr>
          <w:rFonts w:cs="Arial"/>
        </w:rPr>
        <w:t>Lead Partner</w:t>
      </w:r>
      <w:r w:rsidRPr="7D6BE9DE">
        <w:rPr>
          <w:rFonts w:cs="Arial"/>
        </w:rPr>
        <w:t xml:space="preserve"> shall acknowledge the support of THET and </w:t>
      </w:r>
      <w:r w:rsidR="117E5794" w:rsidRPr="7D6BE9DE">
        <w:rPr>
          <w:rFonts w:cs="Arial"/>
        </w:rPr>
        <w:t>DHSC</w:t>
      </w:r>
      <w:r w:rsidRPr="7D6BE9DE">
        <w:rPr>
          <w:rFonts w:cs="Arial"/>
        </w:rPr>
        <w:t xml:space="preserve"> and the </w:t>
      </w:r>
      <w:r w:rsidR="4C574C7F" w:rsidRPr="7D6BE9DE">
        <w:rPr>
          <w:rFonts w:cs="Arial"/>
        </w:rPr>
        <w:t>GHWP</w:t>
      </w:r>
      <w:r w:rsidR="7F536A74" w:rsidRPr="7D6BE9DE">
        <w:rPr>
          <w:rFonts w:cs="Arial"/>
        </w:rPr>
        <w:t xml:space="preserve"> </w:t>
      </w:r>
      <w:r w:rsidRPr="7D6BE9DE">
        <w:rPr>
          <w:rFonts w:cs="Arial"/>
        </w:rPr>
        <w:t xml:space="preserve">in any materials that refer to the </w:t>
      </w:r>
      <w:r w:rsidR="005552A4">
        <w:rPr>
          <w:rFonts w:cs="Arial"/>
        </w:rPr>
        <w:t xml:space="preserve">GHWP </w:t>
      </w:r>
      <w:r w:rsidRPr="7D6BE9DE">
        <w:rPr>
          <w:rFonts w:cs="Arial"/>
        </w:rPr>
        <w:t xml:space="preserve">in any written or spoken public presentations about the </w:t>
      </w:r>
      <w:r w:rsidR="1A6A85E6" w:rsidRPr="7D6BE9DE">
        <w:rPr>
          <w:rFonts w:cs="Arial"/>
        </w:rPr>
        <w:t>GHWP</w:t>
      </w:r>
      <w:r w:rsidR="20F98438">
        <w:t xml:space="preserve"> project</w:t>
      </w:r>
      <w:r w:rsidRPr="7D6BE9DE">
        <w:rPr>
          <w:rFonts w:cs="Arial"/>
        </w:rPr>
        <w:t xml:space="preserve"> by </w:t>
      </w:r>
      <w:r w:rsidR="2BA2D075" w:rsidRPr="7D6BE9DE">
        <w:rPr>
          <w:rFonts w:cs="Arial"/>
        </w:rPr>
        <w:t>us</w:t>
      </w:r>
      <w:r w:rsidRPr="7D6BE9DE">
        <w:rPr>
          <w:rFonts w:cs="Arial"/>
        </w:rPr>
        <w:t>ing the following statement: “</w:t>
      </w:r>
      <w:r w:rsidRPr="7D6BE9DE">
        <w:rPr>
          <w:rFonts w:cs="Arial"/>
          <w:i/>
          <w:iCs/>
        </w:rPr>
        <w:t xml:space="preserve">This project is funded through </w:t>
      </w:r>
      <w:r w:rsidRPr="7D6BE9DE">
        <w:rPr>
          <w:rFonts w:cs="Arial"/>
          <w:i/>
          <w:iCs/>
        </w:rPr>
        <w:lastRenderedPageBreak/>
        <w:t xml:space="preserve">the </w:t>
      </w:r>
      <w:r w:rsidR="64CE7E45" w:rsidRPr="7D6BE9DE">
        <w:rPr>
          <w:rFonts w:cs="Arial"/>
          <w:i/>
          <w:iCs/>
        </w:rPr>
        <w:t>Global Health Workforce Programme</w:t>
      </w:r>
      <w:r w:rsidRPr="7D6BE9DE">
        <w:rPr>
          <w:rFonts w:cs="Arial"/>
          <w:i/>
          <w:iCs/>
        </w:rPr>
        <w:t>, which is fund</w:t>
      </w:r>
      <w:r w:rsidR="4D8F1187" w:rsidRPr="7D6BE9DE">
        <w:rPr>
          <w:rFonts w:cs="Arial"/>
          <w:i/>
          <w:iCs/>
        </w:rPr>
        <w:t>ed by the UK Department</w:t>
      </w:r>
      <w:r w:rsidRPr="7D6BE9DE">
        <w:rPr>
          <w:rFonts w:cs="Arial"/>
          <w:i/>
          <w:iCs/>
        </w:rPr>
        <w:t xml:space="preserve"> </w:t>
      </w:r>
      <w:r w:rsidR="117E5794" w:rsidRPr="7D6BE9DE">
        <w:rPr>
          <w:rFonts w:cs="Arial"/>
          <w:i/>
          <w:iCs/>
        </w:rPr>
        <w:t>of Health and Social Care</w:t>
      </w:r>
      <w:r w:rsidRPr="7D6BE9DE">
        <w:rPr>
          <w:rFonts w:cs="Arial"/>
          <w:i/>
          <w:iCs/>
        </w:rPr>
        <w:t xml:space="preserve"> (</w:t>
      </w:r>
      <w:r w:rsidR="117E5794" w:rsidRPr="7D6BE9DE">
        <w:rPr>
          <w:rFonts w:cs="Arial"/>
          <w:i/>
          <w:iCs/>
        </w:rPr>
        <w:t>DHSC</w:t>
      </w:r>
      <w:r w:rsidRPr="7D6BE9DE">
        <w:rPr>
          <w:rFonts w:cs="Arial"/>
          <w:i/>
          <w:iCs/>
        </w:rPr>
        <w:t>) for the benefit of the UK and partner country health sectors.</w:t>
      </w:r>
      <w:r w:rsidRPr="7D6BE9DE">
        <w:rPr>
          <w:rFonts w:cs="Arial"/>
        </w:rPr>
        <w:t xml:space="preserve">” Such acknowledgements (where appropriate or as requested by THET and/or </w:t>
      </w:r>
      <w:r w:rsidR="117E5794" w:rsidRPr="7D6BE9DE">
        <w:rPr>
          <w:rFonts w:cs="Arial"/>
        </w:rPr>
        <w:t>DHSC</w:t>
      </w:r>
      <w:r w:rsidRPr="7D6BE9DE">
        <w:rPr>
          <w:rFonts w:cs="Arial"/>
        </w:rPr>
        <w:t>) shall include THET</w:t>
      </w:r>
      <w:r w:rsidR="5E583940" w:rsidRPr="7D6BE9DE">
        <w:rPr>
          <w:rFonts w:cs="Arial"/>
        </w:rPr>
        <w:t>’</w:t>
      </w:r>
      <w:r w:rsidRPr="7D6BE9DE">
        <w:rPr>
          <w:rFonts w:cs="Arial"/>
        </w:rPr>
        <w:t>s and</w:t>
      </w:r>
      <w:r w:rsidR="7F536A74" w:rsidRPr="7D6BE9DE">
        <w:rPr>
          <w:rFonts w:cs="Arial"/>
        </w:rPr>
        <w:t>/</w:t>
      </w:r>
      <w:r w:rsidRPr="7D6BE9DE">
        <w:rPr>
          <w:rFonts w:cs="Arial"/>
        </w:rPr>
        <w:t xml:space="preserve">or </w:t>
      </w:r>
      <w:r w:rsidR="117E5794" w:rsidRPr="7D6BE9DE">
        <w:rPr>
          <w:rFonts w:cs="Arial"/>
        </w:rPr>
        <w:t>DHSC</w:t>
      </w:r>
      <w:r w:rsidRPr="7D6BE9DE">
        <w:rPr>
          <w:rFonts w:cs="Arial"/>
        </w:rPr>
        <w:t xml:space="preserve">’s name and logo (or any future name or logo adopted by THETand/or </w:t>
      </w:r>
      <w:r w:rsidR="117E5794" w:rsidRPr="7D6BE9DE">
        <w:rPr>
          <w:rFonts w:cs="Arial"/>
        </w:rPr>
        <w:t>DHSC</w:t>
      </w:r>
      <w:r w:rsidRPr="7D6BE9DE">
        <w:rPr>
          <w:rFonts w:cs="Arial"/>
        </w:rPr>
        <w:t xml:space="preserve">) using the templates provided by THET and </w:t>
      </w:r>
      <w:r w:rsidR="117E5794" w:rsidRPr="7D6BE9DE">
        <w:rPr>
          <w:rFonts w:cs="Arial"/>
        </w:rPr>
        <w:t>DHSC</w:t>
      </w:r>
      <w:r w:rsidRPr="7D6BE9DE">
        <w:rPr>
          <w:rFonts w:cs="Arial"/>
        </w:rPr>
        <w:t xml:space="preserve"> from time to time.</w:t>
      </w:r>
    </w:p>
    <w:p w14:paraId="6AC64D18" w14:textId="364F1AD2" w:rsidR="00EE56A7" w:rsidRDefault="006572EC">
      <w:pPr>
        <w:pStyle w:val="MRheading2"/>
        <w:spacing w:line="240" w:lineRule="auto"/>
        <w:rPr>
          <w:rFonts w:cs="Arial"/>
          <w:szCs w:val="22"/>
        </w:rPr>
      </w:pPr>
      <w:r>
        <w:rPr>
          <w:rFonts w:cs="Arial"/>
          <w:szCs w:val="22"/>
        </w:rPr>
        <w:t xml:space="preserve">Regarding communication and branding, the </w:t>
      </w:r>
      <w:r w:rsidR="00632356">
        <w:rPr>
          <w:rFonts w:cs="Arial"/>
          <w:szCs w:val="22"/>
        </w:rPr>
        <w:t>Lead Partner</w:t>
      </w:r>
      <w:r w:rsidR="00EE56A7" w:rsidRPr="00AD5A65">
        <w:rPr>
          <w:rFonts w:cs="Arial"/>
          <w:szCs w:val="22"/>
        </w:rPr>
        <w:t xml:space="preserve"> shall comply with all THET</w:t>
      </w:r>
      <w:r w:rsidR="005A633D">
        <w:rPr>
          <w:rFonts w:cs="Arial"/>
          <w:szCs w:val="22"/>
        </w:rPr>
        <w:t>’</w:t>
      </w:r>
      <w:r w:rsidR="00EE56A7" w:rsidRPr="00AD5A65">
        <w:rPr>
          <w:rFonts w:cs="Arial"/>
          <w:szCs w:val="22"/>
        </w:rPr>
        <w:t xml:space="preserve">s </w:t>
      </w:r>
      <w:r w:rsidR="00EE56A7">
        <w:rPr>
          <w:rFonts w:cs="Arial"/>
          <w:szCs w:val="22"/>
        </w:rPr>
        <w:t xml:space="preserve">or </w:t>
      </w:r>
      <w:r w:rsidR="00B76D2C">
        <w:rPr>
          <w:rFonts w:cs="Arial"/>
          <w:szCs w:val="22"/>
        </w:rPr>
        <w:t>DHSC</w:t>
      </w:r>
      <w:r w:rsidR="00EE56A7">
        <w:rPr>
          <w:rFonts w:cs="Arial"/>
          <w:szCs w:val="22"/>
        </w:rPr>
        <w:t xml:space="preserve">’s </w:t>
      </w:r>
      <w:r w:rsidR="00681E40">
        <w:rPr>
          <w:rFonts w:cs="Arial"/>
          <w:szCs w:val="22"/>
        </w:rPr>
        <w:t xml:space="preserve">communication and </w:t>
      </w:r>
      <w:r w:rsidR="00EE56A7" w:rsidRPr="00AD5A65">
        <w:rPr>
          <w:rFonts w:cs="Arial"/>
          <w:szCs w:val="22"/>
        </w:rPr>
        <w:t xml:space="preserve">branding guidelines issued by THET </w:t>
      </w:r>
      <w:r w:rsidR="00EE56A7">
        <w:rPr>
          <w:rFonts w:cs="Arial"/>
          <w:szCs w:val="22"/>
        </w:rPr>
        <w:t xml:space="preserve">and/or </w:t>
      </w:r>
      <w:r w:rsidR="00B76D2C">
        <w:rPr>
          <w:rFonts w:cs="Arial"/>
          <w:szCs w:val="22"/>
        </w:rPr>
        <w:t>DHSC</w:t>
      </w:r>
      <w:r w:rsidR="00EE56A7">
        <w:rPr>
          <w:rFonts w:cs="Arial"/>
          <w:szCs w:val="22"/>
        </w:rPr>
        <w:t xml:space="preserve"> </w:t>
      </w:r>
      <w:r w:rsidR="00EE56A7" w:rsidRPr="00AD5A65">
        <w:rPr>
          <w:rFonts w:cs="Arial"/>
          <w:szCs w:val="22"/>
        </w:rPr>
        <w:t>from time to time</w:t>
      </w:r>
      <w:r w:rsidR="00681E40">
        <w:rPr>
          <w:rFonts w:cs="Arial"/>
          <w:szCs w:val="22"/>
        </w:rPr>
        <w:t xml:space="preserve">, including regarding the use of the UK aid logo. </w:t>
      </w:r>
      <w:r>
        <w:rPr>
          <w:rFonts w:cs="Arial"/>
          <w:szCs w:val="22"/>
        </w:rPr>
        <w:t xml:space="preserve"> </w:t>
      </w:r>
    </w:p>
    <w:p w14:paraId="28898413" w14:textId="2CD8627D" w:rsidR="0056024A" w:rsidRDefault="0056024A">
      <w:pPr>
        <w:pStyle w:val="MRheading2"/>
        <w:spacing w:line="240" w:lineRule="auto"/>
        <w:rPr>
          <w:rFonts w:cs="Arial"/>
          <w:szCs w:val="22"/>
        </w:rPr>
      </w:pPr>
      <w:r w:rsidRPr="00D67AEC">
        <w:t xml:space="preserve">If a third party wishes to use the </w:t>
      </w:r>
      <w:r>
        <w:t>DHSC</w:t>
      </w:r>
      <w:r w:rsidRPr="00D67AEC">
        <w:t xml:space="preserve"> or the programme’s logo, the </w:t>
      </w:r>
      <w:r>
        <w:t>Lead Partner</w:t>
      </w:r>
      <w:r w:rsidRPr="00D67AEC">
        <w:t xml:space="preserve"> must first seek permissions from the </w:t>
      </w:r>
      <w:r>
        <w:t>DHSC, via THET.</w:t>
      </w:r>
    </w:p>
    <w:p w14:paraId="548888B4" w14:textId="593AB60F" w:rsidR="00EE56A7" w:rsidRDefault="01A3A62F"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agrees to</w:t>
      </w:r>
      <w:r w:rsidR="34678090" w:rsidRPr="7D6BE9DE">
        <w:rPr>
          <w:rFonts w:cs="Arial"/>
        </w:rPr>
        <w:t xml:space="preserve"> use reasonable </w:t>
      </w:r>
      <w:r w:rsidR="51C6300E" w:rsidRPr="7D6BE9DE">
        <w:rPr>
          <w:rFonts w:cs="Arial"/>
        </w:rPr>
        <w:t>endeavours</w:t>
      </w:r>
      <w:r w:rsidR="34678090" w:rsidRPr="7D6BE9DE">
        <w:rPr>
          <w:rFonts w:cs="Arial"/>
        </w:rPr>
        <w:t xml:space="preserve"> to</w:t>
      </w:r>
      <w:r w:rsidRPr="7D6BE9DE">
        <w:rPr>
          <w:rFonts w:cs="Arial"/>
        </w:rPr>
        <w:t xml:space="preserve"> participate in and co-operate with promotional activities </w:t>
      </w:r>
      <w:r>
        <w:t>relating</w:t>
      </w:r>
      <w:r w:rsidRPr="7D6BE9DE">
        <w:rPr>
          <w:rFonts w:cs="Arial"/>
        </w:rPr>
        <w:t xml:space="preserve"> to the </w:t>
      </w:r>
      <w:r w:rsidR="4C574C7F" w:rsidRPr="7D6BE9DE">
        <w:rPr>
          <w:rFonts w:cs="Arial"/>
        </w:rPr>
        <w:t>GHWP</w:t>
      </w:r>
      <w:r w:rsidR="197CB58F" w:rsidRPr="7D6BE9DE">
        <w:rPr>
          <w:rFonts w:cs="Arial"/>
        </w:rPr>
        <w:t xml:space="preserve"> </w:t>
      </w:r>
      <w:r w:rsidRPr="7D6BE9DE">
        <w:rPr>
          <w:rFonts w:cs="Arial"/>
        </w:rPr>
        <w:t xml:space="preserve"> that may be instigated and/or organised by THET.</w:t>
      </w:r>
    </w:p>
    <w:p w14:paraId="14F14C51" w14:textId="3C675602" w:rsidR="00EE56A7" w:rsidRPr="00295439" w:rsidRDefault="01A3A62F">
      <w:pPr>
        <w:pStyle w:val="MRheading2"/>
        <w:spacing w:line="240" w:lineRule="auto"/>
      </w:pPr>
      <w:r w:rsidRPr="7D6BE9DE">
        <w:rPr>
          <w:rFonts w:cs="Arial"/>
        </w:rPr>
        <w:t xml:space="preserve">THET </w:t>
      </w:r>
      <w:r>
        <w:t xml:space="preserve">may acknowledge the </w:t>
      </w:r>
      <w:r w:rsidR="7D62A095">
        <w:t>Lead Partner</w:t>
      </w:r>
      <w:r w:rsidR="5E583940">
        <w:t>’</w:t>
      </w:r>
      <w:r>
        <w:t xml:space="preserve">s involvement in the </w:t>
      </w:r>
      <w:r w:rsidR="4C574C7F">
        <w:t>GHWP</w:t>
      </w:r>
      <w:r>
        <w:t xml:space="preserve"> </w:t>
      </w:r>
      <w:r w:rsidR="197CB58F">
        <w:t xml:space="preserve"> </w:t>
      </w:r>
      <w:r>
        <w:t>as appropriate without prior notice.</w:t>
      </w:r>
    </w:p>
    <w:p w14:paraId="08097A9F" w14:textId="635B6E87" w:rsidR="00EE56A7" w:rsidRPr="00295439" w:rsidRDefault="01A3A62F">
      <w:pPr>
        <w:pStyle w:val="MRheading2"/>
        <w:spacing w:line="240" w:lineRule="auto"/>
      </w:pPr>
      <w:r>
        <w:t xml:space="preserve">The </w:t>
      </w:r>
      <w:r w:rsidR="7D62A095">
        <w:t>Lead Partner</w:t>
      </w:r>
      <w:r>
        <w:t xml:space="preserve"> shall comply with all reasonable requests from THET to facilitate visits, provide reports, statistics, photographs and case studies that will assist THET in its promotional activities relating to the </w:t>
      </w:r>
      <w:r w:rsidR="4C574C7F">
        <w:t>GHWP</w:t>
      </w:r>
      <w:r w:rsidR="197CB58F">
        <w:t xml:space="preserve"> </w:t>
      </w:r>
      <w:r>
        <w:t>.</w:t>
      </w:r>
    </w:p>
    <w:p w14:paraId="6EB1EC44" w14:textId="45AC2F26" w:rsidR="00EE56A7" w:rsidRDefault="01A3A62F" w:rsidP="7D6BE9DE">
      <w:pPr>
        <w:pStyle w:val="MRheading2"/>
        <w:spacing w:line="240" w:lineRule="auto"/>
        <w:rPr>
          <w:rFonts w:cs="Arial"/>
        </w:rPr>
      </w:pPr>
      <w:r>
        <w:t xml:space="preserve">The </w:t>
      </w:r>
      <w:r w:rsidR="7D62A095">
        <w:t>Lead Partner</w:t>
      </w:r>
      <w:r>
        <w:t xml:space="preserve"> shall, and shall procure that the Partners shall, inform THET of any publicity, academic papers or publicly available documents connected with the </w:t>
      </w:r>
      <w:r w:rsidR="4C574C7F">
        <w:t>GHWP</w:t>
      </w:r>
      <w:r>
        <w:t xml:space="preserve"> </w:t>
      </w:r>
      <w:r w:rsidR="197CB58F">
        <w:t xml:space="preserve"> </w:t>
      </w:r>
      <w:r>
        <w:t xml:space="preserve">and allow free access to such material by </w:t>
      </w:r>
      <w:r w:rsidR="117E5794">
        <w:t>DHSC</w:t>
      </w:r>
      <w:r>
        <w:t xml:space="preserve"> and/or</w:t>
      </w:r>
      <w:r w:rsidRPr="7D6BE9DE">
        <w:rPr>
          <w:rFonts w:cs="Arial"/>
        </w:rPr>
        <w:t xml:space="preserve"> THET in perpetuity.</w:t>
      </w:r>
    </w:p>
    <w:p w14:paraId="0E108376" w14:textId="0DCC5A2B" w:rsidR="006572EC" w:rsidRDefault="006572EC">
      <w:pPr>
        <w:pStyle w:val="MRheading2"/>
        <w:spacing w:line="240" w:lineRule="auto"/>
        <w:rPr>
          <w:rFonts w:cs="Arial"/>
          <w:szCs w:val="22"/>
        </w:rPr>
      </w:pPr>
      <w:r>
        <w:rPr>
          <w:rFonts w:cs="Arial"/>
          <w:szCs w:val="22"/>
        </w:rPr>
        <w:t xml:space="preserve">The </w:t>
      </w:r>
      <w:r w:rsidR="00632356">
        <w:rPr>
          <w:rFonts w:cs="Arial"/>
          <w:szCs w:val="22"/>
        </w:rPr>
        <w:t>Lead Partner</w:t>
      </w:r>
      <w:r>
        <w:rPr>
          <w:rFonts w:cs="Arial"/>
          <w:szCs w:val="22"/>
        </w:rPr>
        <w:t xml:space="preserve"> will </w:t>
      </w:r>
      <w:r w:rsidR="005A25BD">
        <w:rPr>
          <w:rFonts w:cs="Arial"/>
          <w:szCs w:val="22"/>
        </w:rPr>
        <w:t xml:space="preserve">(and will procure that any Partner shall) </w:t>
      </w:r>
      <w:r>
        <w:rPr>
          <w:rFonts w:cs="Arial"/>
          <w:szCs w:val="22"/>
        </w:rPr>
        <w:t>publish to the International Aid Transparency Initiative Standard on their funding in accordance with clause</w:t>
      </w:r>
      <w:r w:rsidR="00B35AFE">
        <w:rPr>
          <w:rFonts w:cs="Arial"/>
          <w:szCs w:val="22"/>
        </w:rPr>
        <w:t xml:space="preserve"> </w:t>
      </w:r>
      <w:r w:rsidR="003317B3">
        <w:rPr>
          <w:rFonts w:cs="Arial"/>
          <w:szCs w:val="22"/>
        </w:rPr>
        <w:t>29 of</w:t>
      </w:r>
      <w:r>
        <w:rPr>
          <w:rFonts w:cs="Arial"/>
          <w:szCs w:val="22"/>
        </w:rPr>
        <w:t xml:space="preserve"> the Funding Agreement. The </w:t>
      </w:r>
      <w:r w:rsidR="00632356">
        <w:rPr>
          <w:rFonts w:cs="Arial"/>
          <w:szCs w:val="22"/>
        </w:rPr>
        <w:t>Lead Partner</w:t>
      </w:r>
      <w:r>
        <w:rPr>
          <w:rFonts w:cs="Arial"/>
          <w:szCs w:val="22"/>
        </w:rPr>
        <w:t xml:space="preserve"> gives consent for this Agreement (and any subsequent amendments) and associated information to be published on </w:t>
      </w:r>
      <w:r w:rsidR="00B76D2C">
        <w:rPr>
          <w:rFonts w:cs="Arial"/>
          <w:szCs w:val="22"/>
        </w:rPr>
        <w:t>DHSC</w:t>
      </w:r>
      <w:r w:rsidR="00A21730">
        <w:rPr>
          <w:rFonts w:cs="Arial"/>
          <w:szCs w:val="22"/>
        </w:rPr>
        <w:t>’s website.</w:t>
      </w:r>
    </w:p>
    <w:p w14:paraId="35D4D5D7" w14:textId="7999932D" w:rsidR="0040137E" w:rsidRPr="00883835" w:rsidRDefault="603A24C2" w:rsidP="7D6BE9DE">
      <w:pPr>
        <w:pStyle w:val="MRheading2"/>
        <w:spacing w:line="240" w:lineRule="auto"/>
        <w:rPr>
          <w:rFonts w:cs="Arial"/>
        </w:rPr>
      </w:pPr>
      <w:r w:rsidRPr="7D6BE9DE">
        <w:rPr>
          <w:rFonts w:cs="Arial"/>
        </w:rPr>
        <w:t xml:space="preserve">All </w:t>
      </w:r>
      <w:r w:rsidR="5E780F89" w:rsidRPr="7D6BE9DE">
        <w:rPr>
          <w:rFonts w:cs="Arial"/>
        </w:rPr>
        <w:t xml:space="preserve">Partners </w:t>
      </w:r>
      <w:r w:rsidRPr="7D6BE9DE">
        <w:rPr>
          <w:rFonts w:cs="Arial"/>
        </w:rPr>
        <w:t xml:space="preserve">will actively participate in THET-organised networking and </w:t>
      </w:r>
      <w:r w:rsidR="00D77796">
        <w:rPr>
          <w:rFonts w:cs="Arial"/>
        </w:rPr>
        <w:t xml:space="preserve">knowledge </w:t>
      </w:r>
      <w:r w:rsidRPr="7D6BE9DE">
        <w:rPr>
          <w:rFonts w:cs="Arial"/>
        </w:rPr>
        <w:t xml:space="preserve">sharing throughout the </w:t>
      </w:r>
      <w:r w:rsidR="4C574C7F" w:rsidRPr="7D6BE9DE">
        <w:rPr>
          <w:rFonts w:cs="Arial"/>
        </w:rPr>
        <w:t>GHWP</w:t>
      </w:r>
      <w:r w:rsidRPr="7D6BE9DE">
        <w:rPr>
          <w:rFonts w:cs="Arial"/>
        </w:rPr>
        <w:t xml:space="preserve"> .</w:t>
      </w:r>
    </w:p>
    <w:p w14:paraId="1DB5D11E" w14:textId="3F8160CF" w:rsidR="0040137E" w:rsidRPr="00AD5A65" w:rsidRDefault="0040137E">
      <w:pPr>
        <w:pStyle w:val="MRheading2"/>
        <w:spacing w:line="240" w:lineRule="auto"/>
        <w:rPr>
          <w:rFonts w:cs="Arial"/>
          <w:szCs w:val="22"/>
        </w:rPr>
      </w:pPr>
      <w:r w:rsidRPr="0040137E">
        <w:rPr>
          <w:rFonts w:cs="Arial"/>
          <w:szCs w:val="22"/>
        </w:rPr>
        <w:t xml:space="preserve">The </w:t>
      </w:r>
      <w:r>
        <w:rPr>
          <w:rFonts w:cs="Arial"/>
          <w:szCs w:val="22"/>
        </w:rPr>
        <w:t>Lead Partner</w:t>
      </w:r>
      <w:r w:rsidRPr="0040137E">
        <w:rPr>
          <w:rFonts w:cs="Arial"/>
          <w:szCs w:val="22"/>
        </w:rPr>
        <w:t xml:space="preserve"> </w:t>
      </w:r>
      <w:r w:rsidR="00087C87">
        <w:rPr>
          <w:rFonts w:cs="Arial"/>
          <w:szCs w:val="22"/>
        </w:rPr>
        <w:t>shall</w:t>
      </w:r>
      <w:r w:rsidR="00087C87" w:rsidRPr="0040137E">
        <w:rPr>
          <w:rFonts w:cs="Arial"/>
          <w:szCs w:val="22"/>
        </w:rPr>
        <w:t xml:space="preserve"> </w:t>
      </w:r>
      <w:r w:rsidRPr="0040137E">
        <w:rPr>
          <w:rFonts w:cs="Arial"/>
          <w:szCs w:val="22"/>
        </w:rPr>
        <w:t xml:space="preserve">ensure that they have obtained the relevant agreement from </w:t>
      </w:r>
      <w:r w:rsidR="00087C87">
        <w:rPr>
          <w:rFonts w:cs="Arial"/>
          <w:szCs w:val="22"/>
        </w:rPr>
        <w:t xml:space="preserve">any relevant </w:t>
      </w:r>
      <w:r w:rsidR="003317B3" w:rsidRPr="0040137E">
        <w:rPr>
          <w:rFonts w:cs="Arial"/>
          <w:szCs w:val="22"/>
        </w:rPr>
        <w:t>third-party</w:t>
      </w:r>
      <w:r w:rsidRPr="0040137E">
        <w:rPr>
          <w:rFonts w:cs="Arial"/>
          <w:szCs w:val="22"/>
        </w:rPr>
        <w:t xml:space="preserve"> proprietor before any additions or variations are made to the standard ‘off-the-shelf’ versions of any </w:t>
      </w:r>
      <w:r w:rsidR="00004878" w:rsidRPr="0040137E">
        <w:rPr>
          <w:rFonts w:cs="Arial"/>
          <w:szCs w:val="22"/>
        </w:rPr>
        <w:t>third-party</w:t>
      </w:r>
      <w:r w:rsidRPr="0040137E">
        <w:rPr>
          <w:rFonts w:cs="Arial"/>
          <w:szCs w:val="22"/>
        </w:rPr>
        <w:t xml:space="preserve"> software and other </w:t>
      </w:r>
      <w:r w:rsidR="00004878">
        <w:rPr>
          <w:rFonts w:cs="Arial"/>
          <w:szCs w:val="22"/>
        </w:rPr>
        <w:t>Intellectual</w:t>
      </w:r>
      <w:r w:rsidR="00087C87">
        <w:rPr>
          <w:rFonts w:cs="Arial"/>
          <w:szCs w:val="22"/>
        </w:rPr>
        <w:t xml:space="preserve"> Property Rights</w:t>
      </w:r>
      <w:r w:rsidRPr="0040137E">
        <w:rPr>
          <w:rFonts w:cs="Arial"/>
          <w:szCs w:val="22"/>
        </w:rPr>
        <w:t xml:space="preserve">. The </w:t>
      </w:r>
      <w:r>
        <w:rPr>
          <w:rFonts w:cs="Arial"/>
          <w:szCs w:val="22"/>
        </w:rPr>
        <w:t>Lead Partner</w:t>
      </w:r>
      <w:r w:rsidRPr="0040137E">
        <w:rPr>
          <w:rFonts w:cs="Arial"/>
          <w:szCs w:val="22"/>
        </w:rPr>
        <w:t xml:space="preserve"> will obtain and maintain all appropriate licences to use the </w:t>
      </w:r>
      <w:r w:rsidR="00004878" w:rsidRPr="0040137E">
        <w:rPr>
          <w:rFonts w:cs="Arial"/>
          <w:szCs w:val="22"/>
        </w:rPr>
        <w:t>third-party</w:t>
      </w:r>
      <w:r w:rsidRPr="0040137E">
        <w:rPr>
          <w:rFonts w:cs="Arial"/>
          <w:szCs w:val="22"/>
        </w:rPr>
        <w:t xml:space="preserve"> software.</w:t>
      </w:r>
    </w:p>
    <w:p w14:paraId="3AC1E9FC" w14:textId="77777777" w:rsidR="00EE56A7" w:rsidRPr="008F1467" w:rsidRDefault="00EE56A7">
      <w:pPr>
        <w:pStyle w:val="MRheading1"/>
        <w:spacing w:line="240" w:lineRule="auto"/>
      </w:pPr>
      <w:r w:rsidRPr="00295439">
        <w:t>Intellectual</w:t>
      </w:r>
      <w:r>
        <w:t xml:space="preserve"> Property Rights</w:t>
      </w:r>
    </w:p>
    <w:p w14:paraId="3C3A36FF" w14:textId="1768A7EF" w:rsidR="00EE56A7" w:rsidRDefault="00EE56A7">
      <w:pPr>
        <w:pStyle w:val="MRheading2"/>
        <w:spacing w:line="240" w:lineRule="auto"/>
        <w:rPr>
          <w:rFonts w:cs="Arial"/>
          <w:szCs w:val="22"/>
        </w:rPr>
      </w:pPr>
      <w:r w:rsidRPr="00AD5A65">
        <w:t xml:space="preserve">THET and the </w:t>
      </w:r>
      <w:r w:rsidR="00632356">
        <w:t>Lead Partner</w:t>
      </w:r>
      <w:r w:rsidRPr="00AD5A65">
        <w:t xml:space="preserve"> agree that all right</w:t>
      </w:r>
      <w:r w:rsidR="006572EC">
        <w:t>s</w:t>
      </w:r>
      <w:r w:rsidRPr="00AD5A65">
        <w:t xml:space="preserve">, title and interest in or to any information, data, reports, documents, procedures, forecasts, technology, Know-How and any other Intellectual Property Rights whatsoever owned by either THET or the </w:t>
      </w:r>
      <w:r w:rsidR="00632356">
        <w:rPr>
          <w:rFonts w:cs="Arial"/>
          <w:szCs w:val="22"/>
        </w:rPr>
        <w:t>Lead Partner</w:t>
      </w:r>
      <w:r w:rsidRPr="00AD5A65">
        <w:rPr>
          <w:rFonts w:cs="Arial"/>
          <w:szCs w:val="22"/>
        </w:rPr>
        <w:t xml:space="preserve"> before the Commencement Date or developed by either party during the Grant Period, shall remain the property of that party. </w:t>
      </w:r>
    </w:p>
    <w:p w14:paraId="205CB54C" w14:textId="13B02567" w:rsidR="00EE56A7" w:rsidRDefault="01A3A62F" w:rsidP="7D6BE9DE">
      <w:pPr>
        <w:pStyle w:val="MRheading2"/>
        <w:spacing w:line="240" w:lineRule="auto"/>
        <w:rPr>
          <w:rFonts w:cs="Arial"/>
        </w:rPr>
      </w:pPr>
      <w:r w:rsidRPr="7D6BE9DE">
        <w:rPr>
          <w:rFonts w:cs="Arial"/>
        </w:rPr>
        <w:lastRenderedPageBreak/>
        <w:t xml:space="preserve">Where THET has provided the </w:t>
      </w:r>
      <w:r w:rsidR="7D62A095" w:rsidRPr="7D6BE9DE">
        <w:rPr>
          <w:rFonts w:cs="Arial"/>
        </w:rPr>
        <w:t>Lead Partner</w:t>
      </w:r>
      <w:r w:rsidRPr="7D6BE9DE">
        <w:rPr>
          <w:rFonts w:cs="Arial"/>
        </w:rPr>
        <w:t xml:space="preserve"> with any of its or </w:t>
      </w:r>
      <w:r w:rsidR="117E5794" w:rsidRPr="7D6BE9DE">
        <w:rPr>
          <w:rFonts w:cs="Arial"/>
        </w:rPr>
        <w:t>DHSC</w:t>
      </w:r>
      <w:r w:rsidRPr="7D6BE9DE">
        <w:rPr>
          <w:rFonts w:cs="Arial"/>
        </w:rPr>
        <w:t xml:space="preserve">’s Intellectual Property Rights for use in connection with the </w:t>
      </w:r>
      <w:r w:rsidR="4C574C7F" w:rsidRPr="7D6BE9DE">
        <w:rPr>
          <w:rFonts w:cs="Arial"/>
        </w:rPr>
        <w:t>GHWP</w:t>
      </w:r>
      <w:r w:rsidRPr="7D6BE9DE">
        <w:rPr>
          <w:rFonts w:cs="Arial"/>
        </w:rPr>
        <w:t xml:space="preserve"> </w:t>
      </w:r>
      <w:r w:rsidR="197CB58F" w:rsidRPr="7D6BE9DE">
        <w:rPr>
          <w:rFonts w:cs="Arial"/>
        </w:rPr>
        <w:t xml:space="preserve"> </w:t>
      </w:r>
      <w:r w:rsidRPr="7D6BE9DE">
        <w:rPr>
          <w:rFonts w:cs="Arial"/>
        </w:rPr>
        <w:t xml:space="preserve">(including without limitation name(s) and logo(s)), the </w:t>
      </w:r>
      <w:r w:rsidR="7D62A095" w:rsidRPr="7D6BE9DE">
        <w:rPr>
          <w:rFonts w:cs="Arial"/>
        </w:rPr>
        <w:t>Lead Partner</w:t>
      </w:r>
      <w:r w:rsidRPr="7D6BE9DE">
        <w:rPr>
          <w:rFonts w:cs="Arial"/>
        </w:rPr>
        <w:t xml:space="preserve"> shall, on termination of this Agreement for any reason whatsoever, cease to use such Intellectual Property Rights immediately and shall either return or destroy any materials containing or comprising such Intellectual Property Rights as requested by THET and/or </w:t>
      </w:r>
      <w:r w:rsidR="117E5794" w:rsidRPr="7D6BE9DE">
        <w:rPr>
          <w:rFonts w:cs="Arial"/>
        </w:rPr>
        <w:t>DHSC</w:t>
      </w:r>
      <w:r w:rsidRPr="7D6BE9DE">
        <w:rPr>
          <w:rFonts w:cs="Arial"/>
        </w:rPr>
        <w:t>, as appropriate.</w:t>
      </w:r>
    </w:p>
    <w:p w14:paraId="1FA3E43A" w14:textId="6797A43A" w:rsidR="00EE56A7" w:rsidRDefault="01A3A62F"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hereby grants, and shall procure that all Partners shall grant, to each of </w:t>
      </w:r>
      <w:r w:rsidR="117E5794" w:rsidRPr="7D6BE9DE">
        <w:rPr>
          <w:rFonts w:cs="Arial"/>
        </w:rPr>
        <w:t>DHSC</w:t>
      </w:r>
      <w:r w:rsidRPr="7D6BE9DE">
        <w:rPr>
          <w:rFonts w:cs="Arial"/>
        </w:rPr>
        <w:t xml:space="preserve"> and THET an irrevocable</w:t>
      </w:r>
      <w:r w:rsidR="5DB5EC13" w:rsidRPr="7D6BE9DE">
        <w:rPr>
          <w:rFonts w:cs="Arial"/>
        </w:rPr>
        <w:t>, perpetual,</w:t>
      </w:r>
      <w:r w:rsidRPr="7D6BE9DE">
        <w:rPr>
          <w:rFonts w:cs="Arial"/>
        </w:rPr>
        <w:t xml:space="preserve"> worldwide,</w:t>
      </w:r>
      <w:r w:rsidR="1A580FA0" w:rsidRPr="7D6BE9DE">
        <w:rPr>
          <w:rFonts w:cs="Arial"/>
        </w:rPr>
        <w:t xml:space="preserve"> sublicensable, transferable,</w:t>
      </w:r>
      <w:r w:rsidRPr="7D6BE9DE">
        <w:rPr>
          <w:rFonts w:cs="Arial"/>
        </w:rPr>
        <w:t xml:space="preserve"> </w:t>
      </w:r>
      <w:r w:rsidR="5DB5EC13" w:rsidRPr="7D6BE9DE">
        <w:rPr>
          <w:rFonts w:cs="Arial"/>
        </w:rPr>
        <w:t>royalty</w:t>
      </w:r>
      <w:r w:rsidRPr="7D6BE9DE">
        <w:rPr>
          <w:rFonts w:cs="Arial"/>
        </w:rPr>
        <w:t>-free licence to use all reports, materials and all other documentation</w:t>
      </w:r>
      <w:r w:rsidR="5DB5EC13" w:rsidRPr="7D6BE9DE">
        <w:rPr>
          <w:rFonts w:cs="Arial"/>
        </w:rPr>
        <w:t>, and any other Intellectual Property Rights contained therein, which are</w:t>
      </w:r>
      <w:r w:rsidRPr="7D6BE9DE">
        <w:rPr>
          <w:rFonts w:cs="Arial"/>
        </w:rPr>
        <w:t xml:space="preserve"> produced in the course of the </w:t>
      </w:r>
      <w:r w:rsidR="4C574C7F" w:rsidRPr="7D6BE9DE">
        <w:rPr>
          <w:rFonts w:cs="Arial"/>
        </w:rPr>
        <w:t>GHWP</w:t>
      </w:r>
      <w:r w:rsidR="197CB58F" w:rsidRPr="7D6BE9DE">
        <w:rPr>
          <w:rFonts w:cs="Arial"/>
        </w:rPr>
        <w:t xml:space="preserve"> </w:t>
      </w:r>
      <w:r w:rsidRPr="7D6BE9DE">
        <w:rPr>
          <w:rFonts w:cs="Arial"/>
        </w:rPr>
        <w:t xml:space="preserve"> or otherwise in connection with or arising out </w:t>
      </w:r>
      <w:r w:rsidR="51951893" w:rsidRPr="7D6BE9DE">
        <w:rPr>
          <w:rFonts w:cs="Arial"/>
        </w:rPr>
        <w:t>o</w:t>
      </w:r>
      <w:r w:rsidRPr="7D6BE9DE">
        <w:rPr>
          <w:rFonts w:cs="Arial"/>
        </w:rPr>
        <w:t>f this Agreement</w:t>
      </w:r>
      <w:r w:rsidR="5DB5EC13" w:rsidRPr="7D6BE9DE">
        <w:rPr>
          <w:rFonts w:cs="Arial"/>
        </w:rPr>
        <w:t>,</w:t>
      </w:r>
      <w:r w:rsidRPr="7D6BE9DE">
        <w:rPr>
          <w:rFonts w:cs="Arial"/>
        </w:rPr>
        <w:t xml:space="preserve"> for research, publicity and other </w:t>
      </w:r>
      <w:r w:rsidR="51951893" w:rsidRPr="7D6BE9DE">
        <w:rPr>
          <w:rFonts w:cs="Arial"/>
        </w:rPr>
        <w:t>activities in support of health partnerships</w:t>
      </w:r>
      <w:r w:rsidRPr="7D6BE9DE">
        <w:rPr>
          <w:rFonts w:cs="Arial"/>
        </w:rPr>
        <w:t xml:space="preserve">. </w:t>
      </w:r>
    </w:p>
    <w:p w14:paraId="2197073A" w14:textId="5C4B3B16" w:rsidR="000D42E7" w:rsidRPr="005F72E1" w:rsidRDefault="1A580FA0"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acknowledges and agrees that DHSC and THET </w:t>
      </w:r>
      <w:r>
        <w:t xml:space="preserve">may freely share any information, </w:t>
      </w:r>
      <w:r w:rsidR="188B8D10">
        <w:t>K</w:t>
      </w:r>
      <w:r>
        <w:t>now-</w:t>
      </w:r>
      <w:r w:rsidR="188B8D10">
        <w:t>H</w:t>
      </w:r>
      <w:r>
        <w:t xml:space="preserve">ow, system or process developed during the term of this Agreement to support similar projects to those of </w:t>
      </w:r>
      <w:r w:rsidR="4C574C7F">
        <w:t>GHWP</w:t>
      </w:r>
      <w:r>
        <w:t>.</w:t>
      </w:r>
    </w:p>
    <w:p w14:paraId="6D7740B6" w14:textId="77777777" w:rsidR="00EE56A7" w:rsidRPr="008F1467" w:rsidRDefault="00EE56A7">
      <w:pPr>
        <w:pStyle w:val="MRheading1"/>
        <w:spacing w:line="240" w:lineRule="auto"/>
        <w:rPr>
          <w:bCs/>
        </w:rPr>
      </w:pPr>
      <w:bookmarkStart w:id="37" w:name="_Ref124866078"/>
      <w:r w:rsidRPr="00C818BF">
        <w:t>Confidentiality</w:t>
      </w:r>
      <w:bookmarkEnd w:id="37"/>
    </w:p>
    <w:p w14:paraId="12FA7670" w14:textId="32BF5095" w:rsidR="00EE56A7" w:rsidRDefault="00EE56A7" w:rsidP="0095685B">
      <w:pPr>
        <w:pStyle w:val="MRheading2"/>
        <w:spacing w:line="240" w:lineRule="auto"/>
        <w:rPr>
          <w:rFonts w:cs="Arial"/>
          <w:szCs w:val="22"/>
        </w:rPr>
      </w:pPr>
      <w:r w:rsidRPr="00AD5A65">
        <w:t xml:space="preserve">Subject to </w:t>
      </w:r>
      <w:r>
        <w:t>paragraph</w:t>
      </w:r>
      <w:r w:rsidRPr="00AD5A65">
        <w:t xml:space="preserve"> </w:t>
      </w:r>
      <w:r>
        <w:fldChar w:fldCharType="begin"/>
      </w:r>
      <w:r>
        <w:instrText xml:space="preserve"> REF _Ref319072257 \r \h </w:instrText>
      </w:r>
      <w:r w:rsidR="00EC5CC0">
        <w:instrText xml:space="preserve"> \* MERGEFORMAT </w:instrText>
      </w:r>
      <w:r>
        <w:fldChar w:fldCharType="separate"/>
      </w:r>
      <w:r w:rsidR="006B5F2E">
        <w:t>10</w:t>
      </w:r>
      <w:r>
        <w:fldChar w:fldCharType="end"/>
      </w:r>
      <w:r w:rsidRPr="00AD5A65">
        <w:t xml:space="preserve"> (Freedom of Information), each party shall during the </w:t>
      </w:r>
      <w:r>
        <w:t>term</w:t>
      </w:r>
      <w:r w:rsidRPr="00AD5A65">
        <w:t xml:space="preserve"> of this </w:t>
      </w:r>
      <w:r w:rsidRPr="00C818BF">
        <w:rPr>
          <w:rFonts w:cs="Arial"/>
          <w:szCs w:val="22"/>
        </w:rPr>
        <w:t>Agreement</w:t>
      </w:r>
      <w:r w:rsidRPr="00AD5A65">
        <w:t xml:space="preserve"> and </w:t>
      </w:r>
      <w:r>
        <w:t>thereafter</w:t>
      </w:r>
      <w:r w:rsidRPr="00AD5A65">
        <w:t xml:space="preserve"> keep secret and confidential all </w:t>
      </w:r>
      <w:r>
        <w:t>Confidential Information</w:t>
      </w:r>
      <w:r w:rsidRPr="00AD5A65">
        <w:rPr>
          <w:rFonts w:cs="Arial"/>
          <w:szCs w:val="22"/>
        </w:rPr>
        <w:t xml:space="preserve"> </w:t>
      </w:r>
      <w:r>
        <w:rPr>
          <w:rFonts w:cs="Arial"/>
          <w:szCs w:val="22"/>
        </w:rPr>
        <w:t xml:space="preserve">or Commercially Sensitive Information </w:t>
      </w:r>
      <w:r w:rsidRPr="00AD5A65">
        <w:rPr>
          <w:rFonts w:cs="Arial"/>
          <w:szCs w:val="22"/>
        </w:rPr>
        <w:t xml:space="preserve">disclosed to it </w:t>
      </w:r>
      <w:r w:rsidR="00E279FD">
        <w:rPr>
          <w:rFonts w:cs="Arial"/>
          <w:szCs w:val="22"/>
        </w:rPr>
        <w:t xml:space="preserve">under or in connection with this </w:t>
      </w:r>
      <w:r w:rsidRPr="00AD5A65">
        <w:rPr>
          <w:rFonts w:cs="Arial"/>
          <w:szCs w:val="22"/>
        </w:rPr>
        <w:t xml:space="preserve">Agreement and shall not disclose the same to any person save </w:t>
      </w:r>
      <w:r w:rsidR="001254F2">
        <w:rPr>
          <w:rFonts w:cs="Arial"/>
          <w:szCs w:val="22"/>
        </w:rPr>
        <w:t>insofar</w:t>
      </w:r>
      <w:r w:rsidRPr="00AD5A65">
        <w:rPr>
          <w:rFonts w:cs="Arial"/>
          <w:szCs w:val="22"/>
        </w:rPr>
        <w:t xml:space="preserve"> </w:t>
      </w:r>
      <w:r w:rsidR="00E279FD">
        <w:rPr>
          <w:rFonts w:cs="Arial"/>
          <w:szCs w:val="22"/>
        </w:rPr>
        <w:t xml:space="preserve">as such disclosure is </w:t>
      </w:r>
      <w:r w:rsidRPr="00AD5A65">
        <w:rPr>
          <w:rFonts w:cs="Arial"/>
          <w:szCs w:val="22"/>
        </w:rPr>
        <w:t xml:space="preserve">necessary to perform its obligations in accordance with the </w:t>
      </w:r>
      <w:r>
        <w:rPr>
          <w:rFonts w:cs="Arial"/>
          <w:szCs w:val="22"/>
        </w:rPr>
        <w:t>terms</w:t>
      </w:r>
      <w:r w:rsidRPr="00AD5A65">
        <w:rPr>
          <w:rFonts w:cs="Arial"/>
          <w:szCs w:val="22"/>
        </w:rPr>
        <w:t xml:space="preserve"> of this Agreement or save as expressly authorised in writing by the other party. </w:t>
      </w:r>
    </w:p>
    <w:p w14:paraId="2D9E64F4" w14:textId="1D2DE7FA" w:rsidR="00EE56A7" w:rsidRPr="00AD5A65" w:rsidRDefault="00EE56A7">
      <w:pPr>
        <w:pStyle w:val="MRheading2"/>
        <w:spacing w:line="240" w:lineRule="auto"/>
        <w:rPr>
          <w:rFonts w:cs="Arial"/>
          <w:szCs w:val="22"/>
        </w:rPr>
      </w:pPr>
      <w:r w:rsidRPr="00AD5A65">
        <w:rPr>
          <w:rFonts w:cs="Arial"/>
          <w:szCs w:val="22"/>
        </w:rPr>
        <w:t xml:space="preserve">The obligation of confidentiality contained in this </w:t>
      </w:r>
      <w:r>
        <w:rPr>
          <w:rFonts w:cs="Arial"/>
          <w:szCs w:val="22"/>
        </w:rPr>
        <w:t>paragraph</w:t>
      </w:r>
      <w:r w:rsidR="005A633D">
        <w:rPr>
          <w:rFonts w:cs="Arial"/>
          <w:szCs w:val="22"/>
        </w:rPr>
        <w:t xml:space="preserve"> 9</w:t>
      </w:r>
      <w:r w:rsidRPr="00AD5A65">
        <w:rPr>
          <w:rFonts w:cs="Arial"/>
          <w:szCs w:val="22"/>
        </w:rPr>
        <w:t xml:space="preserve"> shall not apply or shall cease to apply to any </w:t>
      </w:r>
      <w:r>
        <w:rPr>
          <w:rFonts w:cs="Arial"/>
          <w:szCs w:val="22"/>
        </w:rPr>
        <w:t>Confidential</w:t>
      </w:r>
      <w:r w:rsidRPr="00AD5A65">
        <w:rPr>
          <w:rFonts w:cs="Arial"/>
          <w:szCs w:val="22"/>
        </w:rPr>
        <w:t xml:space="preserve"> </w:t>
      </w:r>
      <w:r>
        <w:rPr>
          <w:rFonts w:cs="Arial"/>
          <w:szCs w:val="22"/>
        </w:rPr>
        <w:t>I</w:t>
      </w:r>
      <w:r w:rsidRPr="00AD5A65">
        <w:rPr>
          <w:rFonts w:cs="Arial"/>
          <w:szCs w:val="22"/>
        </w:rPr>
        <w:t xml:space="preserve">nformation </w:t>
      </w:r>
      <w:r>
        <w:rPr>
          <w:rFonts w:cs="Arial"/>
          <w:szCs w:val="22"/>
        </w:rPr>
        <w:t xml:space="preserve">or Commercially Sensitive Information </w:t>
      </w:r>
      <w:r w:rsidRPr="00AD5A65">
        <w:rPr>
          <w:rFonts w:cs="Arial"/>
          <w:szCs w:val="22"/>
        </w:rPr>
        <w:t xml:space="preserve">which: </w:t>
      </w:r>
    </w:p>
    <w:p w14:paraId="3093BC4F" w14:textId="632E44A4" w:rsidR="00EE56A7" w:rsidRDefault="00EE56A7">
      <w:pPr>
        <w:pStyle w:val="MRheading3"/>
        <w:spacing w:line="240" w:lineRule="auto"/>
      </w:pPr>
      <w:r w:rsidRPr="00AD5A65">
        <w:t xml:space="preserve">at the time of its disclosure by the disclosing party is already in the </w:t>
      </w:r>
      <w:r w:rsidRPr="00C818BF">
        <w:rPr>
          <w:rFonts w:cs="Arial"/>
          <w:szCs w:val="22"/>
        </w:rPr>
        <w:t>public</w:t>
      </w:r>
      <w:r w:rsidRPr="00AD5A65">
        <w:t xml:space="preserve"> domain</w:t>
      </w:r>
      <w:r w:rsidR="00E279FD">
        <w:t>,</w:t>
      </w:r>
      <w:r w:rsidRPr="00AD5A65">
        <w:t xml:space="preserve"> or which subsequently enters the public domain</w:t>
      </w:r>
      <w:r w:rsidR="00E279FD">
        <w:t>,</w:t>
      </w:r>
      <w:r w:rsidRPr="00AD5A65">
        <w:t xml:space="preserve"> other than by breach of the terms of this Agreement by the receiving party; </w:t>
      </w:r>
    </w:p>
    <w:p w14:paraId="2EABEA1B" w14:textId="49EC31B9" w:rsidR="00EE56A7" w:rsidRPr="00EB5B02" w:rsidRDefault="00EE56A7">
      <w:pPr>
        <w:pStyle w:val="MRheading3"/>
        <w:spacing w:line="240" w:lineRule="auto"/>
      </w:pPr>
      <w:r w:rsidRPr="00AD5A65">
        <w:rPr>
          <w:rFonts w:cs="Arial"/>
          <w:szCs w:val="22"/>
        </w:rPr>
        <w:t>is already known to the receiving party</w:t>
      </w:r>
      <w:r w:rsidR="00E279FD">
        <w:rPr>
          <w:rFonts w:cs="Arial"/>
          <w:szCs w:val="22"/>
        </w:rPr>
        <w:t>,</w:t>
      </w:r>
      <w:r w:rsidRPr="00AD5A65">
        <w:rPr>
          <w:rFonts w:cs="Arial"/>
          <w:szCs w:val="22"/>
        </w:rPr>
        <w:t xml:space="preserve"> as evidenced by written records at </w:t>
      </w:r>
      <w:r w:rsidRPr="00C818BF">
        <w:t>the time of its disclosure by the disclosing party</w:t>
      </w:r>
      <w:r w:rsidR="00E279FD">
        <w:t>,</w:t>
      </w:r>
      <w:r w:rsidRPr="00C818BF">
        <w:t xml:space="preserve"> and was not otherwise acquired by the receiving party from the disclosing party under any obligations of confidence; or</w:t>
      </w:r>
    </w:p>
    <w:p w14:paraId="1440EB9F" w14:textId="77777777" w:rsidR="00EE56A7" w:rsidRPr="004E41E1" w:rsidRDefault="00EE56A7">
      <w:pPr>
        <w:pStyle w:val="MRheading3"/>
        <w:spacing w:line="240" w:lineRule="auto"/>
      </w:pPr>
      <w:r w:rsidRPr="00C818BF">
        <w:t>is at any time after the date of this Agreement acquired by the receiving party from</w:t>
      </w:r>
      <w:r w:rsidRPr="00AD5A65">
        <w:rPr>
          <w:rFonts w:cs="Arial"/>
          <w:szCs w:val="22"/>
        </w:rPr>
        <w:t xml:space="preserve"> a third party having the right to disclose the same to the receiving party without breach of the obligations owed by that party to the disclosing party.</w:t>
      </w:r>
    </w:p>
    <w:p w14:paraId="1CEA56F1" w14:textId="4A43CB37" w:rsidR="00E279FD" w:rsidRDefault="00E279FD" w:rsidP="00730E8E">
      <w:pPr>
        <w:pStyle w:val="MRheading2"/>
        <w:spacing w:line="240" w:lineRule="auto"/>
      </w:pPr>
      <w:r>
        <w:t>The receiving party of such Confidential Information</w:t>
      </w:r>
      <w:r w:rsidRPr="00AD5A65">
        <w:rPr>
          <w:rFonts w:cs="Arial"/>
          <w:szCs w:val="22"/>
        </w:rPr>
        <w:t xml:space="preserve"> </w:t>
      </w:r>
      <w:r>
        <w:rPr>
          <w:rFonts w:cs="Arial"/>
          <w:szCs w:val="22"/>
        </w:rPr>
        <w:t>and/or Commercially Sensitive Information shall</w:t>
      </w:r>
      <w:r>
        <w:t>:</w:t>
      </w:r>
    </w:p>
    <w:p w14:paraId="30D10554" w14:textId="51B83C0B" w:rsidR="00E279FD" w:rsidRPr="004E41E1" w:rsidRDefault="00E279FD">
      <w:pPr>
        <w:pStyle w:val="MRheading3"/>
        <w:spacing w:line="240" w:lineRule="auto"/>
      </w:pPr>
      <w:r w:rsidRPr="004E41E1">
        <w:t xml:space="preserve">treat the </w:t>
      </w:r>
      <w:r w:rsidRPr="00B16374">
        <w:t xml:space="preserve">disclosing party's </w:t>
      </w:r>
      <w:r w:rsidRPr="004E41E1">
        <w:t xml:space="preserve">Confidential Information </w:t>
      </w:r>
      <w:r>
        <w:t xml:space="preserve">and </w:t>
      </w:r>
      <w:r w:rsidRPr="004E41E1">
        <w:t xml:space="preserve">Commercially Sensitive Information as confidential and keep it in secure custody (which is appropriate depending upon the form in which such materials are stored and the nature of </w:t>
      </w:r>
      <w:r w:rsidRPr="004E41E1">
        <w:lastRenderedPageBreak/>
        <w:t xml:space="preserve">the Confidential Information </w:t>
      </w:r>
      <w:r>
        <w:t xml:space="preserve">and </w:t>
      </w:r>
      <w:r w:rsidRPr="004E41E1">
        <w:t xml:space="preserve">Commercially Sensitive Information contained in those materials); </w:t>
      </w:r>
    </w:p>
    <w:p w14:paraId="5DC62B79" w14:textId="5E0A848D" w:rsidR="00E279FD" w:rsidRPr="004E41E1" w:rsidRDefault="00E279FD">
      <w:pPr>
        <w:pStyle w:val="MRheading3"/>
        <w:spacing w:line="240" w:lineRule="auto"/>
      </w:pPr>
      <w:r w:rsidRPr="004E41E1">
        <w:t xml:space="preserve">not disclose the </w:t>
      </w:r>
      <w:r w:rsidRPr="00B16374">
        <w:t xml:space="preserve">disclosing party's </w:t>
      </w:r>
      <w:r w:rsidRPr="004E41E1">
        <w:t xml:space="preserve">Confidential Information </w:t>
      </w:r>
      <w:r>
        <w:t xml:space="preserve">and </w:t>
      </w:r>
      <w:r w:rsidRPr="004E41E1">
        <w:t>Commercially Sensitive Information to any other person except as expressly set out in this Agreement or without obtaining the owner's prior written consent;</w:t>
      </w:r>
    </w:p>
    <w:p w14:paraId="167EB77F" w14:textId="5ACE0147" w:rsidR="00E279FD" w:rsidRPr="004E41E1" w:rsidRDefault="00E279FD">
      <w:pPr>
        <w:pStyle w:val="MRheading3"/>
        <w:spacing w:line="240" w:lineRule="auto"/>
      </w:pPr>
      <w:r w:rsidRPr="004E41E1">
        <w:t xml:space="preserve">not use or exploit the </w:t>
      </w:r>
      <w:r w:rsidRPr="00B16374">
        <w:t xml:space="preserve">disclosing party’s </w:t>
      </w:r>
      <w:r w:rsidRPr="004E41E1">
        <w:t xml:space="preserve">Confidential Information </w:t>
      </w:r>
      <w:r>
        <w:t xml:space="preserve">or </w:t>
      </w:r>
      <w:r w:rsidRPr="004E41E1">
        <w:t>Commercially Sensitive Information in any way except for the purposes anticipated under this Agreement; and</w:t>
      </w:r>
    </w:p>
    <w:p w14:paraId="16524441" w14:textId="64BF3725" w:rsidR="00E279FD" w:rsidRPr="004E41E1" w:rsidRDefault="00E279FD">
      <w:pPr>
        <w:pStyle w:val="MRheading3"/>
        <w:spacing w:line="240" w:lineRule="auto"/>
      </w:pPr>
      <w:r w:rsidRPr="004E41E1">
        <w:t xml:space="preserve">immediately notify the </w:t>
      </w:r>
      <w:r w:rsidRPr="00B16374">
        <w:t xml:space="preserve">disclosing party </w:t>
      </w:r>
      <w:r w:rsidRPr="004E41E1">
        <w:t xml:space="preserve">if it suspects or becomes aware of any unauthorised access, copying, use or disclosure in any form of any of the </w:t>
      </w:r>
      <w:r w:rsidRPr="00B16374">
        <w:t xml:space="preserve">disclosing party’s </w:t>
      </w:r>
      <w:r w:rsidRPr="004E41E1">
        <w:t>Confidential Information</w:t>
      </w:r>
      <w:r>
        <w:t xml:space="preserve"> or </w:t>
      </w:r>
      <w:r w:rsidRPr="004E41E1">
        <w:t>Commercially Sensitive Information.</w:t>
      </w:r>
    </w:p>
    <w:p w14:paraId="0EE26E02" w14:textId="5B546DB7" w:rsidR="00504C8C" w:rsidRPr="004E41E1" w:rsidRDefault="00504C8C">
      <w:pPr>
        <w:pStyle w:val="MRheading2"/>
        <w:spacing w:line="240" w:lineRule="auto"/>
      </w:pPr>
      <w:r w:rsidRPr="004E41E1">
        <w:t xml:space="preserve">The receiving party shall be entitled to disclose the Confidential Information </w:t>
      </w:r>
      <w:r>
        <w:t xml:space="preserve">and/or </w:t>
      </w:r>
      <w:r w:rsidRPr="00CC1746">
        <w:t xml:space="preserve">Commercially Sensitive Information </w:t>
      </w:r>
      <w:r w:rsidRPr="004E41E1">
        <w:t xml:space="preserve">of the </w:t>
      </w:r>
      <w:r>
        <w:t>disclosing</w:t>
      </w:r>
      <w:r w:rsidRPr="004E41E1">
        <w:t xml:space="preserve"> </w:t>
      </w:r>
      <w:r>
        <w:t>p</w:t>
      </w:r>
      <w:r w:rsidRPr="004E41E1">
        <w:t>arty where:</w:t>
      </w:r>
    </w:p>
    <w:p w14:paraId="4B78474B" w14:textId="73EA9BE9" w:rsidR="00504C8C" w:rsidRPr="004E41E1" w:rsidRDefault="00504C8C" w:rsidP="0095685B">
      <w:pPr>
        <w:pStyle w:val="MRheading3"/>
        <w:spacing w:line="240" w:lineRule="auto"/>
      </w:pPr>
      <w:r w:rsidRPr="004E41E1">
        <w:t xml:space="preserve">the </w:t>
      </w:r>
      <w:r>
        <w:t>receiving party</w:t>
      </w:r>
      <w:r w:rsidRPr="00CC1746">
        <w:rPr>
          <w:b/>
        </w:rPr>
        <w:t xml:space="preserve"> </w:t>
      </w:r>
      <w:r w:rsidRPr="004E41E1">
        <w:t>is required to disclose the Confidential Information</w:t>
      </w:r>
      <w:r>
        <w:t xml:space="preserve"> or </w:t>
      </w:r>
      <w:r w:rsidRPr="00CC1746">
        <w:t>Commercially Sensitive Information</w:t>
      </w:r>
      <w:r w:rsidRPr="004E41E1">
        <w:t xml:space="preserve"> by any </w:t>
      </w:r>
      <w:r>
        <w:t>applicable law</w:t>
      </w:r>
      <w:r w:rsidRPr="004E41E1">
        <w:t xml:space="preserve">, provided that </w:t>
      </w:r>
      <w:r>
        <w:t>paragraph</w:t>
      </w:r>
      <w:r w:rsidRPr="00AD5A65">
        <w:t xml:space="preserve"> </w:t>
      </w:r>
      <w:r>
        <w:fldChar w:fldCharType="begin"/>
      </w:r>
      <w:r>
        <w:instrText xml:space="preserve"> REF _Ref319072257 \r \h </w:instrText>
      </w:r>
      <w:r w:rsidR="00EC5CC0">
        <w:instrText xml:space="preserve"> \* MERGEFORMAT </w:instrText>
      </w:r>
      <w:r>
        <w:fldChar w:fldCharType="separate"/>
      </w:r>
      <w:r w:rsidR="006B5F2E">
        <w:t>10</w:t>
      </w:r>
      <w:r>
        <w:fldChar w:fldCharType="end"/>
      </w:r>
      <w:r w:rsidR="00653A98">
        <w:t xml:space="preserve"> (Freedom of Information)</w:t>
      </w:r>
      <w:r>
        <w:t xml:space="preserve"> </w:t>
      </w:r>
      <w:r w:rsidRPr="004E41E1">
        <w:t>shall apply to disclosures required under the Information Acts;</w:t>
      </w:r>
    </w:p>
    <w:p w14:paraId="6053E169" w14:textId="77777777" w:rsidR="00504C8C" w:rsidRPr="004E41E1" w:rsidRDefault="00504C8C">
      <w:pPr>
        <w:pStyle w:val="MRheading3"/>
        <w:spacing w:line="240" w:lineRule="auto"/>
      </w:pPr>
      <w:r w:rsidRPr="004E41E1">
        <w:t>the need for such disclosure arises out of or in connection with:</w:t>
      </w:r>
    </w:p>
    <w:p w14:paraId="0CFB58D5" w14:textId="6F6A9E8D" w:rsidR="00504C8C" w:rsidRPr="004E41E1" w:rsidRDefault="00504C8C">
      <w:pPr>
        <w:pStyle w:val="MRheading4"/>
        <w:spacing w:line="240" w:lineRule="auto"/>
      </w:pPr>
      <w:r w:rsidRPr="004E41E1">
        <w:t xml:space="preserve">any legal challenge or potential legal challenge against </w:t>
      </w:r>
      <w:r>
        <w:t>DHSC or the Secretary of State for Health and Social Care</w:t>
      </w:r>
      <w:r w:rsidRPr="00CC1746">
        <w:t xml:space="preserve"> </w:t>
      </w:r>
      <w:r w:rsidRPr="004E41E1">
        <w:t>arising out of or in connection with this Agreement</w:t>
      </w:r>
      <w:r>
        <w:t xml:space="preserve"> or the Funding Agreement</w:t>
      </w:r>
      <w:r w:rsidRPr="004E41E1">
        <w:t xml:space="preserve">; </w:t>
      </w:r>
    </w:p>
    <w:p w14:paraId="218B9522" w14:textId="1AEF7E1A" w:rsidR="00504C8C" w:rsidRPr="004E41E1" w:rsidRDefault="00504C8C">
      <w:pPr>
        <w:pStyle w:val="MRheading4"/>
        <w:spacing w:line="240" w:lineRule="auto"/>
      </w:pPr>
      <w:r w:rsidRPr="004E41E1">
        <w:t xml:space="preserve">the examination and certification of </w:t>
      </w:r>
      <w:r>
        <w:t>DHSC’s or the Secretary of State for Health and Social Care’s</w:t>
      </w:r>
      <w:r w:rsidRPr="00CC1746">
        <w:t xml:space="preserve"> </w:t>
      </w:r>
      <w:r w:rsidRPr="004E41E1">
        <w:t xml:space="preserve">accounts (provided that the disclosure is made on a confidential basis) or for any examination pursuant to Section 6(1) of the National Audit Act 1983 of the economy, efficiency and effectiveness with which </w:t>
      </w:r>
      <w:r>
        <w:t>DHSC or the Secretary of State for Health and Social Care</w:t>
      </w:r>
      <w:r w:rsidRPr="00CC1746">
        <w:t xml:space="preserve"> </w:t>
      </w:r>
      <w:r w:rsidRPr="004E41E1">
        <w:t xml:space="preserve">is making use of any of the </w:t>
      </w:r>
      <w:r>
        <w:t>f</w:t>
      </w:r>
      <w:r w:rsidRPr="004E41E1">
        <w:t xml:space="preserve">unded </w:t>
      </w:r>
      <w:r>
        <w:t>a</w:t>
      </w:r>
      <w:r w:rsidRPr="004E41E1">
        <w:t>ctivities provided under this Agreement; or</w:t>
      </w:r>
    </w:p>
    <w:p w14:paraId="02E50435" w14:textId="28DE0E7F" w:rsidR="00504C8C" w:rsidRPr="004E41E1" w:rsidRDefault="00504C8C">
      <w:pPr>
        <w:pStyle w:val="MRheading4"/>
        <w:spacing w:line="240" w:lineRule="auto"/>
      </w:pPr>
      <w:r w:rsidRPr="004E41E1">
        <w:t xml:space="preserve">the conduct of a </w:t>
      </w:r>
      <w:r>
        <w:t>c</w:t>
      </w:r>
      <w:r w:rsidRPr="004E41E1">
        <w:t xml:space="preserve">entral </w:t>
      </w:r>
      <w:r>
        <w:t>g</w:t>
      </w:r>
      <w:r w:rsidRPr="004E41E1">
        <w:t xml:space="preserve">overnment </w:t>
      </w:r>
      <w:r>
        <w:t>b</w:t>
      </w:r>
      <w:r w:rsidRPr="004E41E1">
        <w:t>ody review in respect of this Agreement; or</w:t>
      </w:r>
    </w:p>
    <w:p w14:paraId="26DF2A57" w14:textId="2D46B1DE" w:rsidR="00504C8C" w:rsidRPr="004E41E1" w:rsidRDefault="00504C8C">
      <w:pPr>
        <w:pStyle w:val="MRheading3"/>
        <w:spacing w:line="240" w:lineRule="auto"/>
      </w:pPr>
      <w:r w:rsidRPr="004E41E1">
        <w:t xml:space="preserve">the </w:t>
      </w:r>
      <w:r>
        <w:t>receiving party</w:t>
      </w:r>
      <w:r w:rsidRPr="00CC1746">
        <w:rPr>
          <w:b/>
        </w:rPr>
        <w:t xml:space="preserve"> </w:t>
      </w:r>
      <w:r w:rsidRPr="004E41E1">
        <w:t xml:space="preserve">has reasonable grounds to believe that the </w:t>
      </w:r>
      <w:r>
        <w:t>disclosing</w:t>
      </w:r>
      <w:r w:rsidRPr="00CC1746">
        <w:t xml:space="preserve"> </w:t>
      </w:r>
      <w:r>
        <w:t>p</w:t>
      </w:r>
      <w:r w:rsidRPr="00CC1746">
        <w:t xml:space="preserve">arty </w:t>
      </w:r>
      <w:r w:rsidRPr="004E41E1">
        <w:t>is involved in activity that may constitute a criminal offence under the Bribery Act 2010 and the disclosure is being made to the Serious Fraud Office.</w:t>
      </w:r>
    </w:p>
    <w:p w14:paraId="65695201" w14:textId="744292E7" w:rsidR="00504C8C" w:rsidRPr="004E41E1" w:rsidRDefault="00504C8C">
      <w:pPr>
        <w:pStyle w:val="MRheading2"/>
        <w:spacing w:line="240" w:lineRule="auto"/>
      </w:pPr>
      <w:r w:rsidRPr="004E41E1">
        <w:t xml:space="preserve">If the </w:t>
      </w:r>
      <w:r>
        <w:t>receiving party</w:t>
      </w:r>
      <w:r w:rsidRPr="00CC1746">
        <w:rPr>
          <w:b/>
        </w:rPr>
        <w:t xml:space="preserve"> </w:t>
      </w:r>
      <w:r w:rsidRPr="004E41E1">
        <w:t xml:space="preserve">is required by any </w:t>
      </w:r>
      <w:r>
        <w:t>applicable l</w:t>
      </w:r>
      <w:r w:rsidRPr="004E41E1">
        <w:t>aw to make a disclosure of Confidential Information</w:t>
      </w:r>
      <w:r>
        <w:t xml:space="preserve"> or </w:t>
      </w:r>
      <w:r w:rsidRPr="00CC1746">
        <w:t>Commercially Sensitive Information</w:t>
      </w:r>
      <w:r w:rsidRPr="004E41E1">
        <w:t xml:space="preserve">, the </w:t>
      </w:r>
      <w:r>
        <w:t>receiving party</w:t>
      </w:r>
      <w:r w:rsidRPr="00C97EC3">
        <w:t xml:space="preserve"> </w:t>
      </w:r>
      <w:r w:rsidRPr="004E41E1">
        <w:t xml:space="preserve">shall as soon as reasonably practicable and to the extent permitted by </w:t>
      </w:r>
      <w:r>
        <w:t>applicable l</w:t>
      </w:r>
      <w:r w:rsidRPr="004E41E1">
        <w:t xml:space="preserve">aw notify the </w:t>
      </w:r>
      <w:r>
        <w:t>disclosing</w:t>
      </w:r>
      <w:r w:rsidRPr="00CC1746">
        <w:t xml:space="preserve"> </w:t>
      </w:r>
      <w:r>
        <w:t>p</w:t>
      </w:r>
      <w:r w:rsidRPr="00CC1746">
        <w:t xml:space="preserve">arty </w:t>
      </w:r>
      <w:r w:rsidRPr="004E41E1">
        <w:t xml:space="preserve">of the full circumstances of the required disclosure including the relevant </w:t>
      </w:r>
      <w:r>
        <w:t>applicable l</w:t>
      </w:r>
      <w:r w:rsidRPr="004E41E1">
        <w:t xml:space="preserve">aw and/or regulatory body requiring such disclosure and the </w:t>
      </w:r>
      <w:r w:rsidRPr="004E41E1">
        <w:lastRenderedPageBreak/>
        <w:t xml:space="preserve">Confidential Information </w:t>
      </w:r>
      <w:r>
        <w:t xml:space="preserve">and </w:t>
      </w:r>
      <w:r w:rsidRPr="00CC1746">
        <w:t xml:space="preserve">Commercially Sensitive Information </w:t>
      </w:r>
      <w:r w:rsidRPr="004E41E1">
        <w:t>to which such disclosure would apply.</w:t>
      </w:r>
    </w:p>
    <w:p w14:paraId="147BE734" w14:textId="30149790" w:rsidR="00504C8C" w:rsidRPr="004E41E1" w:rsidRDefault="00504C8C">
      <w:pPr>
        <w:pStyle w:val="MRheading2"/>
        <w:spacing w:line="240" w:lineRule="auto"/>
      </w:pPr>
      <w:r>
        <w:t>THET, DHSC or the Secretary of State for Health and Social Care</w:t>
      </w:r>
      <w:r w:rsidRPr="004E41E1">
        <w:t xml:space="preserve"> may disclose the Confidential Information </w:t>
      </w:r>
      <w:r>
        <w:t xml:space="preserve">or </w:t>
      </w:r>
      <w:r w:rsidRPr="00CC1746">
        <w:t xml:space="preserve">Commercially Sensitive Information </w:t>
      </w:r>
      <w:r w:rsidRPr="004E41E1">
        <w:t xml:space="preserve">of the </w:t>
      </w:r>
      <w:r w:rsidR="00632356">
        <w:t>Lead Partner</w:t>
      </w:r>
      <w:r w:rsidRPr="004E41E1">
        <w:t>:</w:t>
      </w:r>
    </w:p>
    <w:p w14:paraId="648CC763" w14:textId="6644831C" w:rsidR="00504C8C" w:rsidRPr="004E41E1" w:rsidRDefault="00504C8C">
      <w:pPr>
        <w:pStyle w:val="MRheading3"/>
        <w:spacing w:line="240" w:lineRule="auto"/>
      </w:pPr>
      <w:bookmarkStart w:id="38" w:name="_Ref358884602"/>
      <w:r w:rsidRPr="004E41E1">
        <w:t xml:space="preserve">to any </w:t>
      </w:r>
      <w:r>
        <w:t>c</w:t>
      </w:r>
      <w:r w:rsidRPr="004E41E1">
        <w:t xml:space="preserve">entral </w:t>
      </w:r>
      <w:r>
        <w:t>g</w:t>
      </w:r>
      <w:r w:rsidRPr="004E41E1">
        <w:t xml:space="preserve">overnment </w:t>
      </w:r>
      <w:r>
        <w:t>b</w:t>
      </w:r>
      <w:r w:rsidRPr="004E41E1">
        <w:t xml:space="preserve">ody on the basis that the information may only be further disclosed to </w:t>
      </w:r>
      <w:r>
        <w:t>c</w:t>
      </w:r>
      <w:r w:rsidRPr="004E41E1">
        <w:t xml:space="preserve">entral </w:t>
      </w:r>
      <w:r>
        <w:t>g</w:t>
      </w:r>
      <w:r w:rsidRPr="004E41E1">
        <w:t xml:space="preserve">overnment </w:t>
      </w:r>
      <w:r>
        <w:t>b</w:t>
      </w:r>
      <w:r w:rsidRPr="004E41E1">
        <w:t>odies;</w:t>
      </w:r>
      <w:bookmarkEnd w:id="38"/>
      <w:r w:rsidRPr="004E41E1">
        <w:t xml:space="preserve"> </w:t>
      </w:r>
    </w:p>
    <w:p w14:paraId="07CA0D17" w14:textId="77777777" w:rsidR="00504C8C" w:rsidRPr="004E41E1" w:rsidRDefault="00504C8C">
      <w:pPr>
        <w:pStyle w:val="MRheading3"/>
        <w:spacing w:line="240" w:lineRule="auto"/>
      </w:pPr>
      <w:r w:rsidRPr="004E41E1">
        <w:t>to the British Parliament and any committees of the British Parliament or if required by any British Parliamentary reporting requirement;</w:t>
      </w:r>
    </w:p>
    <w:p w14:paraId="6D64E2F3" w14:textId="7F47F908" w:rsidR="00504C8C" w:rsidRPr="004E41E1" w:rsidRDefault="00504C8C">
      <w:pPr>
        <w:pStyle w:val="MRheading3"/>
        <w:spacing w:line="240" w:lineRule="auto"/>
      </w:pPr>
      <w:bookmarkStart w:id="39" w:name="_Ref450059541"/>
      <w:r w:rsidRPr="004E41E1">
        <w:t xml:space="preserve">to the extent that </w:t>
      </w:r>
      <w:r>
        <w:t>DHSC or the Secretary of State for Health and Social Care</w:t>
      </w:r>
      <w:r w:rsidRPr="00CC1746">
        <w:t xml:space="preserve"> </w:t>
      </w:r>
      <w:r w:rsidRPr="004E41E1">
        <w:t>(acting reasonably) deems disclosure necessary or appropriate in the course of carrying out its public functions;</w:t>
      </w:r>
      <w:bookmarkEnd w:id="39"/>
    </w:p>
    <w:p w14:paraId="52637BF0" w14:textId="7635FD17" w:rsidR="00504C8C" w:rsidRPr="004E41E1" w:rsidRDefault="00504C8C" w:rsidP="0095685B">
      <w:pPr>
        <w:pStyle w:val="MRheading3"/>
        <w:spacing w:line="240" w:lineRule="auto"/>
      </w:pPr>
      <w:r w:rsidRPr="004E41E1">
        <w:t xml:space="preserve">on a confidential basis to a professional adviser, consultant, supplier or other person engaged by any of the entities described in clause </w:t>
      </w:r>
      <w:r w:rsidRPr="004E41E1">
        <w:fldChar w:fldCharType="begin"/>
      </w:r>
      <w:r w:rsidRPr="004E41E1">
        <w:instrText xml:space="preserve"> REF _Ref358884602 \r \h  \* MERGEFORMAT </w:instrText>
      </w:r>
      <w:r w:rsidRPr="004E41E1">
        <w:fldChar w:fldCharType="separate"/>
      </w:r>
      <w:r w:rsidR="006B5F2E">
        <w:t>9.6.1</w:t>
      </w:r>
      <w:r w:rsidRPr="004E41E1">
        <w:fldChar w:fldCharType="end"/>
      </w:r>
      <w:r w:rsidRPr="004E41E1">
        <w:t xml:space="preserve"> for any purpose relating to or connected with this Agreement</w:t>
      </w:r>
      <w:r>
        <w:t xml:space="preserve"> or the Funding Agreement</w:t>
      </w:r>
      <w:r w:rsidRPr="004E41E1">
        <w:t>;</w:t>
      </w:r>
    </w:p>
    <w:p w14:paraId="4D96832C" w14:textId="183A5CBA" w:rsidR="00504C8C" w:rsidRPr="004E41E1" w:rsidRDefault="00504C8C">
      <w:pPr>
        <w:pStyle w:val="MRheading3"/>
        <w:spacing w:line="240" w:lineRule="auto"/>
      </w:pPr>
      <w:r w:rsidRPr="004E41E1">
        <w:t>on a confidential basis for the purpose of the exercise of its rights under this Agreement</w:t>
      </w:r>
      <w:r>
        <w:t xml:space="preserve"> or the Funding Agreement</w:t>
      </w:r>
      <w:r w:rsidRPr="004E41E1">
        <w:t>; or</w:t>
      </w:r>
    </w:p>
    <w:p w14:paraId="223318C9" w14:textId="68688413" w:rsidR="00504C8C" w:rsidRPr="004E41E1" w:rsidRDefault="00504C8C">
      <w:pPr>
        <w:pStyle w:val="MRheading3"/>
        <w:spacing w:line="240" w:lineRule="auto"/>
      </w:pPr>
      <w:r w:rsidRPr="004E41E1">
        <w:t xml:space="preserve">to a proposed transferee, assignee or novatee of, or successor in title to </w:t>
      </w:r>
      <w:r>
        <w:t>DHSC or the Secretary of State for Health and Social Care</w:t>
      </w:r>
      <w:r w:rsidRPr="004E41E1">
        <w:t>,</w:t>
      </w:r>
    </w:p>
    <w:p w14:paraId="526D5C41" w14:textId="566B9CAF" w:rsidR="00504C8C" w:rsidRPr="004E41E1" w:rsidRDefault="00504C8C" w:rsidP="00730E8E">
      <w:pPr>
        <w:pStyle w:val="MRheading2"/>
        <w:numPr>
          <w:ilvl w:val="0"/>
          <w:numId w:val="0"/>
        </w:numPr>
        <w:spacing w:line="240" w:lineRule="auto"/>
        <w:ind w:left="720"/>
      </w:pPr>
      <w:r w:rsidRPr="004E41E1">
        <w:t xml:space="preserve">and for the purposes of the foregoing, references to disclosure on a confidential basis shall mean disclosure subject to a confidentiality agreement or arrangement containing terms no less stringent than those </w:t>
      </w:r>
      <w:r>
        <w:t>set out in this paragraph</w:t>
      </w:r>
      <w:r w:rsidRPr="004E41E1">
        <w:t>.</w:t>
      </w:r>
    </w:p>
    <w:p w14:paraId="4878FAE9" w14:textId="734C0B15" w:rsidR="00504C8C" w:rsidRPr="004E41E1" w:rsidRDefault="00504C8C">
      <w:pPr>
        <w:pStyle w:val="MRheading2"/>
        <w:spacing w:line="240" w:lineRule="auto"/>
      </w:pPr>
      <w:r w:rsidRPr="004E41E1">
        <w:t xml:space="preserve">Nothing in </w:t>
      </w:r>
      <w:r w:rsidR="00AD39DD">
        <w:t xml:space="preserve">this </w:t>
      </w:r>
      <w:r>
        <w:t xml:space="preserve">paragraph </w:t>
      </w:r>
      <w:r w:rsidR="00AD39DD">
        <w:t>9</w:t>
      </w:r>
      <w:r w:rsidR="00992730">
        <w:t xml:space="preserve"> shall</w:t>
      </w:r>
      <w:r w:rsidRPr="004E41E1">
        <w:t xml:space="preserve"> prevent a </w:t>
      </w:r>
      <w:r>
        <w:t>receiving party</w:t>
      </w:r>
      <w:r w:rsidRPr="00CC1746">
        <w:rPr>
          <w:b/>
        </w:rPr>
        <w:t xml:space="preserve"> </w:t>
      </w:r>
      <w:r w:rsidRPr="004E41E1">
        <w:t xml:space="preserve">from using any techniques, ideas or </w:t>
      </w:r>
      <w:r w:rsidR="00A04B61">
        <w:t>K</w:t>
      </w:r>
      <w:r w:rsidRPr="004E41E1">
        <w:t>now-</w:t>
      </w:r>
      <w:r w:rsidR="00A04B61">
        <w:t>H</w:t>
      </w:r>
      <w:r w:rsidRPr="004E41E1">
        <w:t xml:space="preserve">ow gained during the performance of this Agreement in the course of its normal business to the extent that this use does not result in a disclosure of the </w:t>
      </w:r>
      <w:r>
        <w:t>disclosing</w:t>
      </w:r>
      <w:r w:rsidRPr="00CC1746">
        <w:t xml:space="preserve"> </w:t>
      </w:r>
      <w:r>
        <w:t>p</w:t>
      </w:r>
      <w:r w:rsidRPr="00CC1746">
        <w:t>arty</w:t>
      </w:r>
      <w:r>
        <w:t>’s</w:t>
      </w:r>
      <w:r w:rsidRPr="00CC1746">
        <w:t xml:space="preserve"> </w:t>
      </w:r>
      <w:r w:rsidRPr="004E41E1">
        <w:t xml:space="preserve">Confidential Information </w:t>
      </w:r>
      <w:r>
        <w:t xml:space="preserve">or </w:t>
      </w:r>
      <w:r w:rsidRPr="00CC1746">
        <w:t xml:space="preserve">Commercially Sensitive Information </w:t>
      </w:r>
      <w:r w:rsidRPr="004E41E1">
        <w:t>or an infringement of Intellectual Property Rights.</w:t>
      </w:r>
    </w:p>
    <w:p w14:paraId="199BF620" w14:textId="77777777" w:rsidR="00EE56A7" w:rsidRPr="00EB5B02" w:rsidRDefault="00EE56A7">
      <w:pPr>
        <w:pStyle w:val="MRheading1"/>
        <w:spacing w:line="240" w:lineRule="auto"/>
      </w:pPr>
      <w:bookmarkStart w:id="40" w:name="_Ref319072257"/>
      <w:r w:rsidRPr="00C818BF">
        <w:t>Freedom</w:t>
      </w:r>
      <w:r>
        <w:t xml:space="preserve"> of Information</w:t>
      </w:r>
      <w:bookmarkEnd w:id="40"/>
    </w:p>
    <w:p w14:paraId="0F3DE86B" w14:textId="475207AF" w:rsidR="00EE56A7" w:rsidRPr="002253FB" w:rsidRDefault="00EE56A7">
      <w:pPr>
        <w:pStyle w:val="MRheading2"/>
        <w:spacing w:line="240" w:lineRule="auto"/>
        <w:rPr>
          <w:rFonts w:cs="Arial"/>
          <w:b/>
          <w:szCs w:val="22"/>
        </w:rPr>
      </w:pPr>
      <w:r w:rsidRPr="00AD5A65">
        <w:t xml:space="preserve">The </w:t>
      </w:r>
      <w:r w:rsidR="00632356">
        <w:t>Lead Partner</w:t>
      </w:r>
      <w:r w:rsidRPr="00AD5A65">
        <w:t xml:space="preserve"> acknowledges that </w:t>
      </w:r>
      <w:r w:rsidR="00B76D2C">
        <w:t>DHSC</w:t>
      </w:r>
      <w:r>
        <w:t xml:space="preserve"> is</w:t>
      </w:r>
      <w:r w:rsidRPr="00AD5A65">
        <w:t xml:space="preserve"> </w:t>
      </w:r>
      <w:r w:rsidRPr="00C818BF">
        <w:rPr>
          <w:rFonts w:cs="Arial"/>
          <w:szCs w:val="22"/>
        </w:rPr>
        <w:t>subject</w:t>
      </w:r>
      <w:r w:rsidRPr="00AD5A65">
        <w:t xml:space="preserve"> to the requirements of the </w:t>
      </w:r>
      <w:r>
        <w:t>FOIA</w:t>
      </w:r>
      <w:r w:rsidRPr="00AD5A65">
        <w:rPr>
          <w:b/>
          <w:bCs/>
        </w:rPr>
        <w:t xml:space="preserve"> </w:t>
      </w:r>
      <w:r w:rsidRPr="00AD5A65">
        <w:t xml:space="preserve">and the Environmental Information Regulations 2004 </w:t>
      </w:r>
      <w:r>
        <w:t xml:space="preserve">and that THET may be obliged to provide </w:t>
      </w:r>
      <w:r w:rsidR="00B76D2C">
        <w:t>DHSC</w:t>
      </w:r>
      <w:r>
        <w:t xml:space="preserve"> with certain information under the requirements of FOIA.</w:t>
      </w:r>
      <w:r w:rsidR="00564202">
        <w:t xml:space="preserve"> </w:t>
      </w:r>
      <w:r>
        <w:t xml:space="preserve">The </w:t>
      </w:r>
      <w:r w:rsidR="00632356">
        <w:t>Lead Partner</w:t>
      </w:r>
      <w:r>
        <w:t xml:space="preserve"> </w:t>
      </w:r>
      <w:r w:rsidRPr="00AD5A65">
        <w:t xml:space="preserve">shall assist and co-operate with </w:t>
      </w:r>
      <w:r>
        <w:t>THET</w:t>
      </w:r>
      <w:r w:rsidRPr="00AD5A65">
        <w:t xml:space="preserve"> (at the </w:t>
      </w:r>
      <w:r w:rsidR="00632356">
        <w:t>Lead Partner</w:t>
      </w:r>
      <w:r w:rsidRPr="00AD5A65">
        <w:rPr>
          <w:rFonts w:cs="Arial"/>
          <w:szCs w:val="22"/>
        </w:rPr>
        <w:t xml:space="preserve">'s expense) to enable </w:t>
      </w:r>
      <w:r>
        <w:rPr>
          <w:rFonts w:cs="Arial"/>
          <w:szCs w:val="22"/>
        </w:rPr>
        <w:t>THET</w:t>
      </w:r>
      <w:r w:rsidRPr="00AD5A65">
        <w:rPr>
          <w:rFonts w:cs="Arial"/>
          <w:szCs w:val="22"/>
        </w:rPr>
        <w:t xml:space="preserve"> to comply with these information </w:t>
      </w:r>
      <w:r>
        <w:rPr>
          <w:rFonts w:cs="Arial"/>
          <w:szCs w:val="22"/>
        </w:rPr>
        <w:t>disclosure requirements.</w:t>
      </w:r>
    </w:p>
    <w:p w14:paraId="550A0C97" w14:textId="18B6BABF" w:rsidR="00EE56A7" w:rsidRPr="00AD5A65" w:rsidRDefault="00EE56A7">
      <w:pPr>
        <w:pStyle w:val="MRheading2"/>
        <w:spacing w:line="240" w:lineRule="auto"/>
        <w:rPr>
          <w:rFonts w:cs="Arial"/>
          <w:szCs w:val="22"/>
        </w:rPr>
      </w:pPr>
      <w:r w:rsidRPr="00AD5A65">
        <w:rPr>
          <w:rFonts w:cs="Arial"/>
          <w:szCs w:val="22"/>
        </w:rPr>
        <w:t xml:space="preserve">The </w:t>
      </w:r>
      <w:r w:rsidR="00632356">
        <w:rPr>
          <w:rFonts w:cs="Arial"/>
          <w:szCs w:val="22"/>
        </w:rPr>
        <w:t>Lead Partner</w:t>
      </w:r>
      <w:r w:rsidRPr="00AD5A65">
        <w:rPr>
          <w:rFonts w:cs="Arial"/>
          <w:szCs w:val="22"/>
        </w:rPr>
        <w:t xml:space="preserve"> shall:</w:t>
      </w:r>
    </w:p>
    <w:p w14:paraId="7D91CDC6" w14:textId="54769A3C" w:rsidR="00EE56A7" w:rsidRDefault="00EE56A7">
      <w:pPr>
        <w:pStyle w:val="MRheading3"/>
        <w:spacing w:line="240" w:lineRule="auto"/>
        <w:rPr>
          <w:rFonts w:cs="Arial"/>
          <w:szCs w:val="22"/>
        </w:rPr>
      </w:pPr>
      <w:r w:rsidRPr="00AD5A65">
        <w:t xml:space="preserve">transfer the request for information to </w:t>
      </w:r>
      <w:r>
        <w:t>THET</w:t>
      </w:r>
      <w:r w:rsidRPr="00AD5A65">
        <w:t xml:space="preserve"> as soon as practicable after receipt and in any event </w:t>
      </w:r>
      <w:r>
        <w:t>within</w:t>
      </w:r>
      <w:r w:rsidRPr="00AD5A65">
        <w:t xml:space="preserve"> </w:t>
      </w:r>
      <w:r>
        <w:t xml:space="preserve">two (2) </w:t>
      </w:r>
      <w:r w:rsidR="004D6B98">
        <w:t>W</w:t>
      </w:r>
      <w:r w:rsidRPr="00AD5A65">
        <w:t xml:space="preserve">orking </w:t>
      </w:r>
      <w:r w:rsidR="004D6B98">
        <w:t>D</w:t>
      </w:r>
      <w:r w:rsidRPr="00AD5A65">
        <w:t xml:space="preserve">ays of receiving a request </w:t>
      </w:r>
      <w:r w:rsidRPr="00AD5A65">
        <w:rPr>
          <w:rFonts w:cs="Arial"/>
          <w:szCs w:val="22"/>
        </w:rPr>
        <w:t xml:space="preserve">for </w:t>
      </w:r>
      <w:r>
        <w:rPr>
          <w:rFonts w:cs="Arial"/>
          <w:szCs w:val="22"/>
        </w:rPr>
        <w:t>information</w:t>
      </w:r>
      <w:r w:rsidRPr="00AD5A65">
        <w:rPr>
          <w:rFonts w:cs="Arial"/>
          <w:szCs w:val="22"/>
        </w:rPr>
        <w:t xml:space="preserve">; </w:t>
      </w:r>
    </w:p>
    <w:p w14:paraId="5D902BB9" w14:textId="55733C8A" w:rsidR="00EE56A7" w:rsidRDefault="00EE56A7">
      <w:pPr>
        <w:pStyle w:val="MRheading3"/>
        <w:spacing w:line="240" w:lineRule="auto"/>
      </w:pPr>
      <w:r w:rsidRPr="00AD5A65">
        <w:lastRenderedPageBreak/>
        <w:t xml:space="preserve">provide </w:t>
      </w:r>
      <w:r>
        <w:t>THET</w:t>
      </w:r>
      <w:r w:rsidRPr="00AD5A65">
        <w:t xml:space="preserve"> with a copy of all </w:t>
      </w:r>
      <w:r>
        <w:t>information</w:t>
      </w:r>
      <w:r w:rsidRPr="00AD5A65">
        <w:t xml:space="preserve"> in its possession or power in the form that </w:t>
      </w:r>
      <w:r>
        <w:t>THET</w:t>
      </w:r>
      <w:r w:rsidRPr="00AD5A65">
        <w:t xml:space="preserve"> require</w:t>
      </w:r>
      <w:r>
        <w:t>s</w:t>
      </w:r>
      <w:r w:rsidRPr="00AD5A65">
        <w:t xml:space="preserve"> within five </w:t>
      </w:r>
      <w:r>
        <w:t xml:space="preserve">(5) </w:t>
      </w:r>
      <w:r w:rsidR="004D6B98">
        <w:t>W</w:t>
      </w:r>
      <w:r w:rsidRPr="00AD5A65">
        <w:t xml:space="preserve">orking </w:t>
      </w:r>
      <w:r w:rsidR="004D6B98">
        <w:t>D</w:t>
      </w:r>
      <w:r w:rsidRPr="00AD5A65">
        <w:t xml:space="preserve">ays (or such other period as </w:t>
      </w:r>
      <w:r>
        <w:t>THET</w:t>
      </w:r>
      <w:r w:rsidRPr="00AD5A65">
        <w:t xml:space="preserve"> may specify) of </w:t>
      </w:r>
      <w:r>
        <w:t>THET</w:t>
      </w:r>
      <w:r w:rsidRPr="00AD5A65">
        <w:t xml:space="preserve"> requesting that information; and </w:t>
      </w:r>
    </w:p>
    <w:p w14:paraId="7EEA4FB7" w14:textId="77777777" w:rsidR="00EE56A7" w:rsidRPr="00AD5A65" w:rsidRDefault="00EE56A7">
      <w:pPr>
        <w:pStyle w:val="MRheading3"/>
        <w:spacing w:line="240" w:lineRule="auto"/>
        <w:rPr>
          <w:rFonts w:cs="Arial"/>
          <w:szCs w:val="22"/>
        </w:rPr>
      </w:pPr>
      <w:r w:rsidRPr="00AD5A65">
        <w:t xml:space="preserve">provide all necessary assistance as reasonably requested by </w:t>
      </w:r>
      <w:r>
        <w:t>THET</w:t>
      </w:r>
      <w:r w:rsidRPr="00AD5A65">
        <w:t xml:space="preserve"> to enable </w:t>
      </w:r>
      <w:r>
        <w:t>THET</w:t>
      </w:r>
      <w:r w:rsidRPr="00AD5A65">
        <w:t xml:space="preserve"> to respond to a request for </w:t>
      </w:r>
      <w:r>
        <w:t>information</w:t>
      </w:r>
      <w:r w:rsidRPr="00AD5A65">
        <w:t xml:space="preserve"> </w:t>
      </w:r>
      <w:r>
        <w:t>within</w:t>
      </w:r>
      <w:r w:rsidRPr="00AD5A65">
        <w:t xml:space="preserve"> the </w:t>
      </w:r>
      <w:r>
        <w:t>time</w:t>
      </w:r>
      <w:r w:rsidRPr="00AD5A65">
        <w:t xml:space="preserve"> for</w:t>
      </w:r>
      <w:r>
        <w:t xml:space="preserve"> </w:t>
      </w:r>
      <w:r w:rsidRPr="00AD5A65">
        <w:t xml:space="preserve">compliance set out in section 10 of the FOIA or regulation 5 of the </w:t>
      </w:r>
      <w:r w:rsidRPr="00AD5A65">
        <w:rPr>
          <w:rFonts w:cs="Arial"/>
          <w:szCs w:val="22"/>
        </w:rPr>
        <w:t xml:space="preserve">Environmental </w:t>
      </w:r>
      <w:r>
        <w:rPr>
          <w:rFonts w:cs="Arial"/>
          <w:szCs w:val="22"/>
        </w:rPr>
        <w:t>Information</w:t>
      </w:r>
      <w:r w:rsidRPr="00AD5A65">
        <w:rPr>
          <w:rFonts w:cs="Arial"/>
          <w:szCs w:val="22"/>
        </w:rPr>
        <w:t xml:space="preserve"> Regulations 2004. </w:t>
      </w:r>
    </w:p>
    <w:p w14:paraId="7E0114D1" w14:textId="3ABDC20D" w:rsidR="00EE56A7" w:rsidRPr="00AD5A65" w:rsidRDefault="00B76D2C">
      <w:pPr>
        <w:pStyle w:val="MRheading2"/>
        <w:spacing w:line="240" w:lineRule="auto"/>
        <w:rPr>
          <w:rFonts w:cs="Arial"/>
          <w:szCs w:val="22"/>
        </w:rPr>
      </w:pPr>
      <w:r>
        <w:t>DHSC</w:t>
      </w:r>
      <w:r w:rsidR="00EE56A7" w:rsidRPr="00AD5A65">
        <w:t xml:space="preserve"> shall be responsible for determining at its absolute discretion whether the </w:t>
      </w:r>
      <w:r w:rsidR="00EE56A7" w:rsidRPr="00AD5A65">
        <w:rPr>
          <w:rFonts w:cs="Arial"/>
          <w:szCs w:val="22"/>
        </w:rPr>
        <w:t xml:space="preserve">information: </w:t>
      </w:r>
    </w:p>
    <w:p w14:paraId="0A888127" w14:textId="77777777" w:rsidR="00EE56A7" w:rsidRDefault="00EE56A7">
      <w:pPr>
        <w:pStyle w:val="MRheading3"/>
        <w:spacing w:line="240" w:lineRule="auto"/>
        <w:rPr>
          <w:rFonts w:cs="Arial"/>
          <w:szCs w:val="22"/>
        </w:rPr>
      </w:pPr>
      <w:r w:rsidRPr="00AD5A65">
        <w:t xml:space="preserve">is exempt from disclosure in accordance with the provisions of the FOIA or </w:t>
      </w:r>
      <w:r w:rsidRPr="00AD5A65">
        <w:rPr>
          <w:rFonts w:cs="Arial"/>
          <w:szCs w:val="22"/>
        </w:rPr>
        <w:t>the Enviro</w:t>
      </w:r>
      <w:r>
        <w:rPr>
          <w:rFonts w:cs="Arial"/>
          <w:szCs w:val="22"/>
        </w:rPr>
        <w:t>nm</w:t>
      </w:r>
      <w:r w:rsidRPr="00AD5A65">
        <w:rPr>
          <w:rFonts w:cs="Arial"/>
          <w:szCs w:val="22"/>
        </w:rPr>
        <w:t xml:space="preserve">ental </w:t>
      </w:r>
      <w:r>
        <w:rPr>
          <w:rFonts w:cs="Arial"/>
          <w:szCs w:val="22"/>
        </w:rPr>
        <w:t>Information</w:t>
      </w:r>
      <w:r w:rsidRPr="00AD5A65">
        <w:rPr>
          <w:rFonts w:cs="Arial"/>
          <w:szCs w:val="22"/>
        </w:rPr>
        <w:t xml:space="preserve"> Regulations 2004; </w:t>
      </w:r>
    </w:p>
    <w:p w14:paraId="31CF65F3" w14:textId="2FD087D7" w:rsidR="00EE56A7" w:rsidRPr="00AD5A65" w:rsidRDefault="00EE56A7">
      <w:pPr>
        <w:pStyle w:val="MRheading3"/>
        <w:spacing w:line="240" w:lineRule="auto"/>
        <w:rPr>
          <w:rFonts w:cs="Arial"/>
          <w:szCs w:val="22"/>
        </w:rPr>
      </w:pPr>
      <w:r w:rsidRPr="00AD5A65">
        <w:rPr>
          <w:rFonts w:cs="Arial"/>
          <w:szCs w:val="22"/>
        </w:rPr>
        <w:t xml:space="preserve">is to be disclosed in response to a request for </w:t>
      </w:r>
      <w:r>
        <w:rPr>
          <w:rFonts w:cs="Arial"/>
          <w:szCs w:val="22"/>
        </w:rPr>
        <w:t>information</w:t>
      </w:r>
      <w:r w:rsidRPr="00AD5A65">
        <w:rPr>
          <w:rFonts w:cs="Arial"/>
          <w:szCs w:val="22"/>
        </w:rPr>
        <w:t xml:space="preserve">, and in no event shall the </w:t>
      </w:r>
      <w:r w:rsidR="00632356">
        <w:t>Lead Partner</w:t>
      </w:r>
      <w:r w:rsidRPr="00AD5A65">
        <w:rPr>
          <w:rFonts w:cs="Arial"/>
          <w:szCs w:val="22"/>
        </w:rPr>
        <w:t xml:space="preserve"> respond directly to a request for information unless e</w:t>
      </w:r>
      <w:r>
        <w:rPr>
          <w:rFonts w:cs="Arial"/>
          <w:szCs w:val="22"/>
        </w:rPr>
        <w:t xml:space="preserve">xpressly authorised to do so by THET or </w:t>
      </w:r>
      <w:r w:rsidR="00B76D2C">
        <w:rPr>
          <w:rFonts w:cs="Arial"/>
          <w:szCs w:val="22"/>
        </w:rPr>
        <w:t>DHSC</w:t>
      </w:r>
      <w:r w:rsidRPr="00AD5A65">
        <w:rPr>
          <w:rFonts w:cs="Arial"/>
          <w:szCs w:val="22"/>
        </w:rPr>
        <w:t>.</w:t>
      </w:r>
    </w:p>
    <w:p w14:paraId="7C86D844" w14:textId="2670D535" w:rsidR="00EE56A7" w:rsidRDefault="00EE56A7">
      <w:pPr>
        <w:pStyle w:val="MRheading2"/>
        <w:spacing w:line="240" w:lineRule="auto"/>
        <w:rPr>
          <w:rFonts w:cs="Arial"/>
          <w:szCs w:val="22"/>
        </w:rPr>
      </w:pPr>
      <w:r w:rsidRPr="00AD5A65">
        <w:rPr>
          <w:rFonts w:cs="Arial"/>
          <w:szCs w:val="22"/>
        </w:rPr>
        <w:t xml:space="preserve">The </w:t>
      </w:r>
      <w:r w:rsidR="00632356">
        <w:rPr>
          <w:rFonts w:cs="Arial"/>
          <w:szCs w:val="22"/>
        </w:rPr>
        <w:t>Lead Partner</w:t>
      </w:r>
      <w:r w:rsidRPr="00AD5A65">
        <w:rPr>
          <w:rFonts w:cs="Arial"/>
          <w:szCs w:val="22"/>
        </w:rPr>
        <w:t xml:space="preserve"> acknowledges that </w:t>
      </w:r>
      <w:r w:rsidR="00B76D2C">
        <w:rPr>
          <w:rFonts w:cs="Arial"/>
          <w:szCs w:val="22"/>
        </w:rPr>
        <w:t>DHSC</w:t>
      </w:r>
      <w:r w:rsidRPr="00AD5A65">
        <w:rPr>
          <w:rFonts w:cs="Arial"/>
          <w:szCs w:val="22"/>
        </w:rPr>
        <w:t xml:space="preserve"> may, acting in accordance with the Secretary of State for Constitutional Affairs' Code of Practice on the discharge of public authorities' functions under Part I of FOIA (issued under section 45 of the FOIA, November 2004), be obliged under the FOIA or the </w:t>
      </w:r>
      <w:r>
        <w:rPr>
          <w:rFonts w:cs="Arial"/>
          <w:szCs w:val="22"/>
        </w:rPr>
        <w:t>Environmental</w:t>
      </w:r>
      <w:r w:rsidRPr="00AD5A65">
        <w:rPr>
          <w:rFonts w:cs="Arial"/>
          <w:szCs w:val="22"/>
        </w:rPr>
        <w:t xml:space="preserve"> Information Regulations 2004 to disclose </w:t>
      </w:r>
      <w:r>
        <w:rPr>
          <w:rFonts w:cs="Arial"/>
          <w:szCs w:val="22"/>
        </w:rPr>
        <w:t>information</w:t>
      </w:r>
      <w:r w:rsidRPr="00AD5A65">
        <w:rPr>
          <w:rFonts w:cs="Arial"/>
          <w:szCs w:val="22"/>
        </w:rPr>
        <w:t>:</w:t>
      </w:r>
    </w:p>
    <w:p w14:paraId="5C23A35C" w14:textId="51B00A26" w:rsidR="00EE56A7" w:rsidRPr="00EB5B02" w:rsidRDefault="00EE56A7">
      <w:pPr>
        <w:pStyle w:val="MRheading3"/>
        <w:spacing w:line="240" w:lineRule="auto"/>
      </w:pPr>
      <w:bookmarkStart w:id="41" w:name="_Ref319061487"/>
      <w:r w:rsidRPr="00AD5A65">
        <w:rPr>
          <w:rFonts w:cs="Arial"/>
          <w:szCs w:val="22"/>
        </w:rPr>
        <w:t xml:space="preserve">without </w:t>
      </w:r>
      <w:r w:rsidRPr="0036724D">
        <w:t>consulting</w:t>
      </w:r>
      <w:r w:rsidRPr="00AD5A65">
        <w:rPr>
          <w:rFonts w:cs="Arial"/>
          <w:szCs w:val="22"/>
        </w:rPr>
        <w:t xml:space="preserve"> with the </w:t>
      </w:r>
      <w:r w:rsidR="00632356">
        <w:rPr>
          <w:rFonts w:cs="Arial"/>
          <w:szCs w:val="22"/>
        </w:rPr>
        <w:t>Lead Partner</w:t>
      </w:r>
      <w:r w:rsidRPr="00AD5A65">
        <w:rPr>
          <w:rFonts w:cs="Arial"/>
          <w:szCs w:val="22"/>
        </w:rPr>
        <w:t>; or</w:t>
      </w:r>
      <w:bookmarkEnd w:id="41"/>
    </w:p>
    <w:p w14:paraId="5E3EE799" w14:textId="5132029B" w:rsidR="00EE56A7" w:rsidRPr="00845072" w:rsidRDefault="00EE56A7">
      <w:pPr>
        <w:pStyle w:val="MRheading3"/>
        <w:spacing w:line="240" w:lineRule="auto"/>
      </w:pPr>
      <w:r w:rsidRPr="0036724D">
        <w:t>following</w:t>
      </w:r>
      <w:r w:rsidRPr="00AD5A65">
        <w:rPr>
          <w:rFonts w:cs="Arial"/>
          <w:szCs w:val="22"/>
        </w:rPr>
        <w:t xml:space="preserve"> consultation with the </w:t>
      </w:r>
      <w:r w:rsidR="00632356">
        <w:rPr>
          <w:rFonts w:cs="Arial"/>
          <w:szCs w:val="22"/>
        </w:rPr>
        <w:t>Lead Partner</w:t>
      </w:r>
      <w:r w:rsidRPr="00AD5A65">
        <w:rPr>
          <w:rFonts w:cs="Arial"/>
          <w:szCs w:val="22"/>
        </w:rPr>
        <w:t xml:space="preserve"> and having taken its views into account,</w:t>
      </w:r>
    </w:p>
    <w:p w14:paraId="2E47B6FE" w14:textId="51006597" w:rsidR="00EE56A7" w:rsidRPr="00845072" w:rsidRDefault="00EE56A7" w:rsidP="0095685B">
      <w:pPr>
        <w:pStyle w:val="MRheading2"/>
        <w:numPr>
          <w:ilvl w:val="0"/>
          <w:numId w:val="0"/>
        </w:numPr>
        <w:spacing w:line="240" w:lineRule="auto"/>
        <w:ind w:left="720"/>
      </w:pPr>
      <w:r w:rsidRPr="00845072">
        <w:t xml:space="preserve">provided always that where </w:t>
      </w:r>
      <w:r>
        <w:t>paragraph</w:t>
      </w:r>
      <w:r w:rsidRPr="00845072">
        <w:t xml:space="preserve"> </w:t>
      </w:r>
      <w:r>
        <w:fldChar w:fldCharType="begin"/>
      </w:r>
      <w:r>
        <w:instrText xml:space="preserve"> REF _Ref319061487 \r \h </w:instrText>
      </w:r>
      <w:r w:rsidR="00EC5CC0">
        <w:instrText xml:space="preserve"> \* MERGEFORMAT </w:instrText>
      </w:r>
      <w:r>
        <w:fldChar w:fldCharType="separate"/>
      </w:r>
      <w:r w:rsidR="006B5F2E">
        <w:t>10.4.1</w:t>
      </w:r>
      <w:r>
        <w:fldChar w:fldCharType="end"/>
      </w:r>
      <w:r w:rsidR="008436AF">
        <w:t xml:space="preserve"> </w:t>
      </w:r>
      <w:r w:rsidRPr="00845072">
        <w:t xml:space="preserve">applies </w:t>
      </w:r>
      <w:r w:rsidR="00B76D2C">
        <w:t>DHSC</w:t>
      </w:r>
      <w:r>
        <w:t xml:space="preserve"> shall</w:t>
      </w:r>
      <w:r w:rsidRPr="00845072">
        <w:t xml:space="preserve">, in accordance with any recommendations of </w:t>
      </w:r>
      <w:r w:rsidR="00330B85" w:rsidRPr="00330B85">
        <w:t>the Code of Practice on Access to Government Information</w:t>
      </w:r>
      <w:r w:rsidRPr="00845072">
        <w:t xml:space="preserve">, take reasonable steps, where appropriate, to give the </w:t>
      </w:r>
      <w:r w:rsidR="00632356">
        <w:t>Lead Partner</w:t>
      </w:r>
      <w:r w:rsidRPr="00845072">
        <w:t xml:space="preserve"> advanced notice, or failing that, to draw the disclosure to the </w:t>
      </w:r>
      <w:r w:rsidR="00632356">
        <w:t>Lead Partner</w:t>
      </w:r>
      <w:r w:rsidRPr="00845072">
        <w:t xml:space="preserve">'s attention after any such disclosure. </w:t>
      </w:r>
    </w:p>
    <w:p w14:paraId="10440305" w14:textId="13001D1B" w:rsidR="00EE56A7" w:rsidRDefault="00EE56A7">
      <w:pPr>
        <w:pStyle w:val="MRheading2"/>
        <w:spacing w:line="240" w:lineRule="auto"/>
      </w:pPr>
      <w:r w:rsidRPr="00845072">
        <w:t xml:space="preserve">The </w:t>
      </w:r>
      <w:r w:rsidR="00632356">
        <w:t>Lead Partner</w:t>
      </w:r>
      <w:r w:rsidRPr="00845072">
        <w:t xml:space="preserve"> shall ensure that all </w:t>
      </w:r>
      <w:r>
        <w:t>information</w:t>
      </w:r>
      <w:r w:rsidRPr="00845072">
        <w:t xml:space="preserve"> produced in the course of the </w:t>
      </w:r>
      <w:r w:rsidRPr="00AD5A65">
        <w:t xml:space="preserve">Agreement or </w:t>
      </w:r>
      <w:r w:rsidRPr="0036724D">
        <w:rPr>
          <w:rFonts w:cs="Arial"/>
          <w:szCs w:val="22"/>
        </w:rPr>
        <w:t>r</w:t>
      </w:r>
      <w:r w:rsidRPr="00AD5A65">
        <w:t xml:space="preserve">elating to the Agreement is retained for disclosure and shall permit </w:t>
      </w:r>
      <w:r>
        <w:t xml:space="preserve">THET and/or </w:t>
      </w:r>
      <w:r w:rsidR="00B76D2C">
        <w:t>DHSC</w:t>
      </w:r>
      <w:r w:rsidRPr="00AD5A65">
        <w:t xml:space="preserve"> to inspect such records as requested from time to time. </w:t>
      </w:r>
    </w:p>
    <w:p w14:paraId="533D3210" w14:textId="234D33D3" w:rsidR="00330B85" w:rsidRDefault="00DD60DB">
      <w:pPr>
        <w:pStyle w:val="MRheading2"/>
        <w:spacing w:line="240" w:lineRule="auto"/>
      </w:pPr>
      <w:r>
        <w:t>[</w:t>
      </w:r>
      <w:r w:rsidR="00833448">
        <w:t xml:space="preserve">It is </w:t>
      </w:r>
      <w:r w:rsidR="00F12FC8">
        <w:t>acknowledged</w:t>
      </w:r>
      <w:r w:rsidR="00833448">
        <w:t xml:space="preserve"> that t</w:t>
      </w:r>
      <w:r w:rsidR="00330B85" w:rsidRPr="00211551">
        <w:t xml:space="preserve">he </w:t>
      </w:r>
      <w:r w:rsidR="00632356">
        <w:t>Lead Partner</w:t>
      </w:r>
      <w:r w:rsidR="00330B85" w:rsidRPr="00845072">
        <w:t xml:space="preserve"> </w:t>
      </w:r>
      <w:r w:rsidR="00330B85" w:rsidRPr="00211551">
        <w:t xml:space="preserve">must observe its obligations under </w:t>
      </w:r>
      <w:r w:rsidR="00330B85">
        <w:t xml:space="preserve">the </w:t>
      </w:r>
      <w:r w:rsidR="006F52F4">
        <w:t>[</w:t>
      </w:r>
      <w:r w:rsidR="00330B85" w:rsidRPr="007700F3">
        <w:rPr>
          <w:highlight w:val="yellow"/>
        </w:rPr>
        <w:t>FOIA</w:t>
      </w:r>
      <w:r w:rsidR="006F52F4" w:rsidRPr="007700F3">
        <w:rPr>
          <w:highlight w:val="yellow"/>
        </w:rPr>
        <w:t xml:space="preserve"> / Freedom of Information (Scotland) Act 2002</w:t>
      </w:r>
      <w:r w:rsidR="006F52F4">
        <w:t>]</w:t>
      </w:r>
      <w:r w:rsidR="006F52F4">
        <w:rPr>
          <w:rStyle w:val="FootnoteReference"/>
        </w:rPr>
        <w:footnoteReference w:id="3"/>
      </w:r>
      <w:r w:rsidR="00330B85" w:rsidRPr="00211551">
        <w:t xml:space="preserve">, and under the common law duty of confidentiality and shall comply with all applicable </w:t>
      </w:r>
      <w:r w:rsidR="00330B85">
        <w:t>l</w:t>
      </w:r>
      <w:r w:rsidR="00330B85" w:rsidRPr="00211551">
        <w:t xml:space="preserve">aws (and shall notify </w:t>
      </w:r>
      <w:r w:rsidR="00330B85">
        <w:t xml:space="preserve">THET </w:t>
      </w:r>
      <w:r w:rsidR="00330B85" w:rsidRPr="00211551">
        <w:t xml:space="preserve">immediately of any significant departure from such </w:t>
      </w:r>
      <w:r w:rsidR="00330B85">
        <w:t>applicable laws</w:t>
      </w:r>
      <w:r w:rsidR="00330B85" w:rsidRPr="00211551">
        <w:t>).</w:t>
      </w:r>
    </w:p>
    <w:p w14:paraId="7CF44A06" w14:textId="275CF97D" w:rsidR="005E6E6A" w:rsidRDefault="444B17A3" w:rsidP="007E0DB5">
      <w:pPr>
        <w:pStyle w:val="MRheading2"/>
        <w:spacing w:line="240" w:lineRule="auto"/>
      </w:pPr>
      <w:r w:rsidRPr="007E0DB5">
        <w:t xml:space="preserve">THET acknowledges that the Lead </w:t>
      </w:r>
      <w:r>
        <w:t>Partner</w:t>
      </w:r>
      <w:r w:rsidRPr="007E0DB5">
        <w:t xml:space="preserve"> may itself be subject to obligations under the </w:t>
      </w:r>
      <w:r w:rsidR="5DC4DBB1">
        <w:t>[</w:t>
      </w:r>
      <w:r w:rsidR="5DC4DBB1" w:rsidRPr="007700F3">
        <w:rPr>
          <w:highlight w:val="yellow"/>
        </w:rPr>
        <w:t>FOIA / Freedom of Information (Scotland) Act 2002</w:t>
      </w:r>
      <w:r w:rsidR="5DC4DBB1">
        <w:t>]</w:t>
      </w:r>
      <w:r w:rsidR="00C00CF4">
        <w:rPr>
          <w:rStyle w:val="FootnoteReference"/>
        </w:rPr>
        <w:footnoteReference w:id="4"/>
      </w:r>
      <w:r w:rsidR="5DC4DBB1">
        <w:t xml:space="preserve"> </w:t>
      </w:r>
      <w:r w:rsidRPr="007E0DB5">
        <w:t xml:space="preserve">or the EIR </w:t>
      </w:r>
      <w:r w:rsidR="02FC5CA1">
        <w:t xml:space="preserve">that require it </w:t>
      </w:r>
      <w:r w:rsidRPr="007E0DB5">
        <w:lastRenderedPageBreak/>
        <w:t xml:space="preserve">disclose information concerning the </w:t>
      </w:r>
      <w:r w:rsidR="4C574C7F" w:rsidRPr="7D6BE9DE">
        <w:rPr>
          <w:rFonts w:cs="Arial"/>
        </w:rPr>
        <w:t>GHWP</w:t>
      </w:r>
      <w:r w:rsidR="221BFC76" w:rsidRPr="7D6BE9DE">
        <w:rPr>
          <w:rFonts w:cs="Arial"/>
        </w:rPr>
        <w:t xml:space="preserve"> project</w:t>
      </w:r>
      <w:r w:rsidR="7646ACA4" w:rsidRPr="7D6BE9DE">
        <w:rPr>
          <w:rFonts w:cs="Arial"/>
        </w:rPr>
        <w:t xml:space="preserve"> as contemplated by this Agreement</w:t>
      </w:r>
      <w:r w:rsidR="4AE5A863">
        <w:t xml:space="preserve"> and</w:t>
      </w:r>
      <w:r w:rsidR="4DD04085" w:rsidRPr="007E0DB5">
        <w:t xml:space="preserve"> </w:t>
      </w:r>
      <w:r w:rsidR="3EF44F0E">
        <w:t xml:space="preserve">THET </w:t>
      </w:r>
      <w:r w:rsidR="4AE5A863">
        <w:t xml:space="preserve">agrees that it </w:t>
      </w:r>
      <w:r w:rsidR="3EF44F0E" w:rsidRPr="00AD5A65">
        <w:t xml:space="preserve">shall assist and co-operate with </w:t>
      </w:r>
      <w:r w:rsidR="4AE5A863">
        <w:t>the Lead Partner</w:t>
      </w:r>
      <w:r w:rsidR="3EF44F0E" w:rsidRPr="00AD5A65">
        <w:t xml:space="preserve"> (at the </w:t>
      </w:r>
      <w:r w:rsidR="3EF44F0E">
        <w:t>Lead Partner</w:t>
      </w:r>
      <w:r w:rsidR="3EF44F0E" w:rsidRPr="7D6BE9DE">
        <w:rPr>
          <w:rFonts w:cs="Arial"/>
        </w:rPr>
        <w:t>'s expense) to enable the Lead Partner to comply with these information disclosure requirements</w:t>
      </w:r>
      <w:r w:rsidR="1A4A3D5F" w:rsidRPr="7D6BE9DE">
        <w:rPr>
          <w:rFonts w:cs="Arial"/>
        </w:rPr>
        <w:t>.</w:t>
      </w:r>
      <w:r w:rsidR="3EF44F0E" w:rsidRPr="007E0DB5">
        <w:t xml:space="preserve"> </w:t>
      </w:r>
      <w:r w:rsidR="4DD04085" w:rsidRPr="007E0DB5">
        <w:t>The</w:t>
      </w:r>
      <w:r w:rsidRPr="007E0DB5">
        <w:t xml:space="preserve"> Lead Partner will not be in breach of obligations under this </w:t>
      </w:r>
      <w:r w:rsidR="657E39CA">
        <w:t xml:space="preserve">paragraph </w:t>
      </w:r>
      <w:r w:rsidR="00E10614">
        <w:fldChar w:fldCharType="begin"/>
      </w:r>
      <w:r w:rsidR="00E10614">
        <w:instrText xml:space="preserve"> REF _Ref319072257 \r \h </w:instrText>
      </w:r>
      <w:r w:rsidR="00E10614">
        <w:fldChar w:fldCharType="separate"/>
      </w:r>
      <w:r w:rsidR="006B5F2E">
        <w:t>10</w:t>
      </w:r>
      <w:r w:rsidR="00E10614">
        <w:fldChar w:fldCharType="end"/>
      </w:r>
      <w:r w:rsidRPr="007E0DB5">
        <w:t xml:space="preserve"> or obligations of confidentiality under </w:t>
      </w:r>
      <w:r w:rsidR="657E39CA">
        <w:t xml:space="preserve">paragraph </w:t>
      </w:r>
      <w:r w:rsidR="00E10614">
        <w:fldChar w:fldCharType="begin"/>
      </w:r>
      <w:r w:rsidR="00E10614">
        <w:instrText xml:space="preserve"> REF _Ref124866078 \r \h </w:instrText>
      </w:r>
      <w:r w:rsidR="00E10614">
        <w:fldChar w:fldCharType="separate"/>
      </w:r>
      <w:r w:rsidR="006B5F2E">
        <w:t>9</w:t>
      </w:r>
      <w:r w:rsidR="00E10614">
        <w:fldChar w:fldCharType="end"/>
      </w:r>
      <w:r w:rsidR="474D5F45">
        <w:t xml:space="preserve"> (Confidentiality)</w:t>
      </w:r>
      <w:r w:rsidRPr="007E0DB5">
        <w:t xml:space="preserve"> to the extent it is required</w:t>
      </w:r>
      <w:r w:rsidR="657E39CA">
        <w:t xml:space="preserve"> by law</w:t>
      </w:r>
      <w:r w:rsidRPr="007E0DB5">
        <w:t xml:space="preserve"> to disclose information</w:t>
      </w:r>
      <w:r w:rsidR="7533ACA8">
        <w:t xml:space="preserve"> under the </w:t>
      </w:r>
      <w:r w:rsidR="0B20451F">
        <w:t>[</w:t>
      </w:r>
      <w:r w:rsidR="0B20451F" w:rsidRPr="007700F3">
        <w:rPr>
          <w:highlight w:val="yellow"/>
        </w:rPr>
        <w:t>FOIA / Freedom of Information (Scotland) Act 2002</w:t>
      </w:r>
      <w:r w:rsidR="0B20451F">
        <w:t>]</w:t>
      </w:r>
      <w:r w:rsidR="00666207">
        <w:rPr>
          <w:rStyle w:val="FootnoteReference"/>
        </w:rPr>
        <w:footnoteReference w:id="5"/>
      </w:r>
      <w:r w:rsidR="428B7348">
        <w:t xml:space="preserve"> </w:t>
      </w:r>
      <w:r w:rsidR="7533ACA8">
        <w:t>or the EIR</w:t>
      </w:r>
      <w:r w:rsidRPr="007E0DB5">
        <w:t>. The Lead Partner shall</w:t>
      </w:r>
      <w:r w:rsidR="69796DC3">
        <w:t>:</w:t>
      </w:r>
    </w:p>
    <w:p w14:paraId="77D3718C" w14:textId="03CF21AD" w:rsidR="005E6E6A" w:rsidRDefault="005E6E6A" w:rsidP="00730E8E">
      <w:pPr>
        <w:pStyle w:val="MRheading3"/>
        <w:spacing w:line="240" w:lineRule="auto"/>
      </w:pPr>
      <w:r>
        <w:t>w</w:t>
      </w:r>
      <w:r w:rsidR="007E0DB5" w:rsidRPr="007E0DB5">
        <w:t>herever practicable, give THET reasonable advance notice of the intended disclosure</w:t>
      </w:r>
      <w:r>
        <w:t>;</w:t>
      </w:r>
    </w:p>
    <w:p w14:paraId="3B97D511" w14:textId="3A18FEC7" w:rsidR="005E6E6A" w:rsidRDefault="007E0DB5" w:rsidP="00730E8E">
      <w:pPr>
        <w:pStyle w:val="MRheading3"/>
        <w:spacing w:line="240" w:lineRule="auto"/>
      </w:pPr>
      <w:r w:rsidRPr="007E0DB5">
        <w:t>make such disclosure only to the extent required and for the purpose of complying with the requirement</w:t>
      </w:r>
      <w:r w:rsidR="005E6E6A">
        <w:t>s;</w:t>
      </w:r>
      <w:r w:rsidRPr="007E0DB5">
        <w:t xml:space="preserve"> and</w:t>
      </w:r>
    </w:p>
    <w:p w14:paraId="70CEC9B6" w14:textId="78CB7AAF" w:rsidR="007E0DB5" w:rsidRPr="00AD5A65" w:rsidRDefault="007E0DB5" w:rsidP="00730E8E">
      <w:pPr>
        <w:pStyle w:val="MRheading3"/>
        <w:spacing w:line="240" w:lineRule="auto"/>
      </w:pPr>
      <w:r w:rsidRPr="007E0DB5">
        <w:t xml:space="preserve">take all reasonable measures to ensure, as far as it is possible to do so, the continued confidentiality of any Confidential Information </w:t>
      </w:r>
      <w:r w:rsidR="00112CF6">
        <w:t xml:space="preserve">or </w:t>
      </w:r>
      <w:r w:rsidR="00F12FC8">
        <w:t>Commercially</w:t>
      </w:r>
      <w:r w:rsidR="00112CF6">
        <w:t xml:space="preserve"> Sensitive Information </w:t>
      </w:r>
      <w:r w:rsidRPr="007E0DB5">
        <w:t>shared.</w:t>
      </w:r>
    </w:p>
    <w:p w14:paraId="1C349B01" w14:textId="77777777" w:rsidR="00EE56A7" w:rsidRDefault="00EE56A7">
      <w:pPr>
        <w:pStyle w:val="MRheading1"/>
        <w:spacing w:line="240" w:lineRule="auto"/>
      </w:pPr>
      <w:bookmarkStart w:id="42" w:name="_Ref319074459"/>
      <w:r w:rsidRPr="0036724D">
        <w:t>Data</w:t>
      </w:r>
      <w:r>
        <w:t xml:space="preserve"> Protection</w:t>
      </w:r>
      <w:bookmarkEnd w:id="42"/>
    </w:p>
    <w:p w14:paraId="292B3414" w14:textId="2092755A" w:rsidR="00EE56A7" w:rsidRDefault="00EE56A7">
      <w:pPr>
        <w:pStyle w:val="MRheading2"/>
        <w:spacing w:line="240" w:lineRule="auto"/>
      </w:pPr>
      <w:r>
        <w:t xml:space="preserve">The </w:t>
      </w:r>
      <w:r w:rsidR="008945A1">
        <w:t>P</w:t>
      </w:r>
      <w:r>
        <w:t xml:space="preserve">arties confirm that they shall, and the </w:t>
      </w:r>
      <w:r w:rsidR="00632356">
        <w:t>Lead Partner</w:t>
      </w:r>
      <w:r>
        <w:t xml:space="preserve"> shall procure that its staff and Partners shall, comply with their obligations and duties under </w:t>
      </w:r>
      <w:r w:rsidR="00DE260E">
        <w:t>Data Protection Legislation. In</w:t>
      </w:r>
      <w:r>
        <w:t xml:space="preserve"> particular:</w:t>
      </w:r>
      <w:r w:rsidR="00330B85">
        <w:t xml:space="preserve"> </w:t>
      </w:r>
    </w:p>
    <w:p w14:paraId="7979BE60" w14:textId="5085BC64" w:rsidR="00EE56A7" w:rsidRDefault="00EE56A7">
      <w:pPr>
        <w:pStyle w:val="MRheading3"/>
        <w:spacing w:line="240" w:lineRule="auto"/>
      </w:pPr>
      <w:r>
        <w:t xml:space="preserve">where necessary, the </w:t>
      </w:r>
      <w:r w:rsidR="005E545B">
        <w:t>P</w:t>
      </w:r>
      <w:r>
        <w:t>arties shall obtain and maintain appropriate data protection notification entries on the UK Information Commissioner’s Register of Data Controllers;</w:t>
      </w:r>
    </w:p>
    <w:p w14:paraId="4E896448" w14:textId="2956AD6C" w:rsidR="00EE56A7" w:rsidRDefault="00EE56A7">
      <w:pPr>
        <w:pStyle w:val="MRheading3"/>
        <w:spacing w:line="240" w:lineRule="auto"/>
      </w:pPr>
      <w:r>
        <w:t>in the event a party is acting as a data processor (hereafter the “</w:t>
      </w:r>
      <w:r w:rsidRPr="00F558C7">
        <w:rPr>
          <w:b/>
        </w:rPr>
        <w:t>Processing Party</w:t>
      </w:r>
      <w:r w:rsidR="009C6E85">
        <w:t xml:space="preserve">”) (as defined by </w:t>
      </w:r>
      <w:r w:rsidR="00A9046C">
        <w:t>t</w:t>
      </w:r>
      <w:r>
        <w:t xml:space="preserve">he </w:t>
      </w:r>
      <w:r w:rsidR="006D472A">
        <w:t>Data Protection Legislation</w:t>
      </w:r>
      <w:r>
        <w:t>) for the other party (hereafter the “</w:t>
      </w:r>
      <w:r w:rsidRPr="00F558C7">
        <w:rPr>
          <w:b/>
        </w:rPr>
        <w:t>Controller Party</w:t>
      </w:r>
      <w:r>
        <w:t xml:space="preserve">”), the Processing Party undertakes in respect of personal data and sensitive personal data (as defined by </w:t>
      </w:r>
      <w:r w:rsidR="009C6E85">
        <w:t>Data Protection Legislation</w:t>
      </w:r>
      <w:r>
        <w:t>) processed by it (“</w:t>
      </w:r>
      <w:r w:rsidRPr="00F558C7">
        <w:rPr>
          <w:b/>
        </w:rPr>
        <w:t>Personal Data</w:t>
      </w:r>
      <w:r>
        <w:t>” and "</w:t>
      </w:r>
      <w:r w:rsidRPr="00F558C7">
        <w:rPr>
          <w:b/>
        </w:rPr>
        <w:t>Sensitive Personal Data</w:t>
      </w:r>
      <w:r>
        <w:t>” respectively):</w:t>
      </w:r>
    </w:p>
    <w:p w14:paraId="07D8FE4B" w14:textId="59D118B7" w:rsidR="00EE56A7" w:rsidRDefault="00EE56A7">
      <w:pPr>
        <w:pStyle w:val="MRheading4"/>
        <w:spacing w:line="240" w:lineRule="auto"/>
      </w:pPr>
      <w:r>
        <w:t xml:space="preserve">to process the Personal Data strictly in accordance with the terms of this Agreement and the Controller Party’s reasonable instructions from time to time; if the Processing Party cannot provide such compliance for any reason, the Processing Party agrees to inform the Controller Party promptly. In this situation the Controller Party is entitled to suspend the transfer of Personal Data and/or terminate this Agreement; </w:t>
      </w:r>
    </w:p>
    <w:p w14:paraId="2AA03872" w14:textId="0D769164" w:rsidR="00EE56A7" w:rsidRDefault="00EE56A7">
      <w:pPr>
        <w:pStyle w:val="MRheading4"/>
        <w:spacing w:line="240" w:lineRule="auto"/>
      </w:pPr>
      <w:r>
        <w:t>take appropriate technical and organisational measures against the unauthorised or unlawful processing of the Personal Data and against the accidental loss or destruction of, or damage to, the Personal Data (including without limitation adequate back up procedures and disaster recovery systems).</w:t>
      </w:r>
      <w:r w:rsidR="00564202">
        <w:t xml:space="preserve"> </w:t>
      </w:r>
      <w:r>
        <w:t xml:space="preserve">Such measures shall (taking into account the state of </w:t>
      </w:r>
      <w:r>
        <w:lastRenderedPageBreak/>
        <w:t>technological development and the cost of implementing such measures) be appropriate to the nature of the Personal Data processed by the Processing Party;</w:t>
      </w:r>
    </w:p>
    <w:p w14:paraId="5FA245E7" w14:textId="18B450AB" w:rsidR="00EE56A7" w:rsidRDefault="00EE56A7">
      <w:pPr>
        <w:pStyle w:val="MRheading4"/>
        <w:spacing w:line="240" w:lineRule="auto"/>
      </w:pPr>
      <w:r>
        <w:t>ensure that only its employees who may be required during the course of their employment to perform tasks relating to the services undertaken to be provided by the Processing Party under this Agreement shall have access to the Personal Data.</w:t>
      </w:r>
      <w:r w:rsidR="00564202">
        <w:t xml:space="preserve"> </w:t>
      </w:r>
      <w:r>
        <w:t xml:space="preserve">The Processing Party shall ensure that all employees used by it to process Personal Data have undergone training in </w:t>
      </w:r>
      <w:r w:rsidR="00DE260E">
        <w:t>Data Protection Legislation</w:t>
      </w:r>
      <w:r>
        <w:t xml:space="preserve"> and in the care and handling of Personal Data;</w:t>
      </w:r>
    </w:p>
    <w:p w14:paraId="6F609C9C" w14:textId="14208ECB" w:rsidR="00EE56A7" w:rsidRDefault="00EE56A7">
      <w:pPr>
        <w:pStyle w:val="MRheading4"/>
        <w:spacing w:line="240" w:lineRule="auto"/>
      </w:pPr>
      <w:r>
        <w:t xml:space="preserve">process the Personal Data in accordance with </w:t>
      </w:r>
      <w:r w:rsidR="00DE260E">
        <w:t>all applicable Data Protection Legislation</w:t>
      </w:r>
      <w:r>
        <w:t>;</w:t>
      </w:r>
    </w:p>
    <w:p w14:paraId="686509E0" w14:textId="6C10FBBA" w:rsidR="00EE56A7" w:rsidRDefault="00EE56A7">
      <w:pPr>
        <w:pStyle w:val="MRheading4"/>
        <w:spacing w:line="240" w:lineRule="auto"/>
      </w:pPr>
      <w:r>
        <w:t>notify (</w:t>
      </w:r>
      <w:r w:rsidR="001254F2">
        <w:t>insofar</w:t>
      </w:r>
      <w:r>
        <w:t xml:space="preserve"> permitted by law) the Controller Party about any request which may be received from individuals who are the subject of the Personal Data (“</w:t>
      </w:r>
      <w:r w:rsidRPr="00B74BD2">
        <w:rPr>
          <w:b/>
        </w:rPr>
        <w:t>Data Subjects</w:t>
      </w:r>
      <w:r>
        <w:t xml:space="preserve">”) without responding to that request, unless the Processing </w:t>
      </w:r>
      <w:r w:rsidR="002561DA">
        <w:t>Party has</w:t>
      </w:r>
      <w:r>
        <w:t xml:space="preserve"> been authorised to do so by the Controller Party;</w:t>
      </w:r>
    </w:p>
    <w:p w14:paraId="0738C44C" w14:textId="58877175" w:rsidR="00EE56A7" w:rsidRDefault="00EE56A7">
      <w:pPr>
        <w:pStyle w:val="MRheading4"/>
        <w:spacing w:line="240" w:lineRule="auto"/>
      </w:pPr>
      <w:r>
        <w:t>assist the Controller Party promptly with all requests which may be received from Data Subjects.</w:t>
      </w:r>
      <w:r w:rsidR="00564202">
        <w:t xml:space="preserve"> </w:t>
      </w:r>
      <w:r>
        <w:t>The Controller Party shall reimburse the Processing Party for any reasonable costs which the Processing Party may incur in complying with this requirement;</w:t>
      </w:r>
    </w:p>
    <w:p w14:paraId="27CF5CFF" w14:textId="77777777" w:rsidR="00EE56A7" w:rsidRDefault="00EE56A7">
      <w:pPr>
        <w:pStyle w:val="MRheading4"/>
        <w:spacing w:line="240" w:lineRule="auto"/>
      </w:pPr>
      <w:r>
        <w:t>not use the Personal Data for any purposes which may be inconsistent with those notified to the Data Subject on or before collection provided that the Controller Party has previously supplied copies of all such notices to the Processing Party;</w:t>
      </w:r>
    </w:p>
    <w:p w14:paraId="592F5DC1" w14:textId="77777777" w:rsidR="00EE56A7" w:rsidRDefault="00EE56A7">
      <w:pPr>
        <w:pStyle w:val="MRheading4"/>
        <w:spacing w:line="240" w:lineRule="auto"/>
      </w:pPr>
      <w:r>
        <w:t>not disclose the Personal Data to a third party in any circumstances other than at the specific request of the Controller Party or as otherwise specified in this Agreement;</w:t>
      </w:r>
    </w:p>
    <w:p w14:paraId="092C9B05" w14:textId="77777777" w:rsidR="00EE56A7" w:rsidRDefault="00EE56A7">
      <w:pPr>
        <w:pStyle w:val="MRheading4"/>
        <w:spacing w:line="240" w:lineRule="auto"/>
      </w:pPr>
      <w:r>
        <w:t xml:space="preserve">notify the Controller Party immediately upon receiving any notice or communication from any supervisory or government body which relates directly or indirectly to the processing of the Personal Data and provide full cooperation and assistance to the Controller Party in relation to any such notice or communication; </w:t>
      </w:r>
    </w:p>
    <w:p w14:paraId="0F43C37F" w14:textId="77777777" w:rsidR="00EE56A7" w:rsidRDefault="00EE56A7">
      <w:pPr>
        <w:pStyle w:val="MRheading4"/>
        <w:spacing w:line="240" w:lineRule="auto"/>
      </w:pPr>
      <w:r w:rsidRPr="00B811C1">
        <w:t xml:space="preserve">provide a written description of the technical and organisational methods employed by the </w:t>
      </w:r>
      <w:r>
        <w:t>Processing Party</w:t>
      </w:r>
      <w:r w:rsidRPr="00B811C1">
        <w:t xml:space="preserve"> for processing Personal Data (within the timescales required by </w:t>
      </w:r>
      <w:r>
        <w:t>the Controller Party</w:t>
      </w:r>
      <w:r w:rsidRPr="00B811C1">
        <w:t>);</w:t>
      </w:r>
    </w:p>
    <w:p w14:paraId="35AF86DA" w14:textId="77777777" w:rsidR="00EE56A7" w:rsidRDefault="00EE56A7">
      <w:pPr>
        <w:pStyle w:val="MRheading4"/>
        <w:spacing w:line="240" w:lineRule="auto"/>
      </w:pPr>
      <w:r>
        <w:t xml:space="preserve">not process Personal Data outside the United Kingdom without the prior written consent of the Controller Party and, where the Controller Party consents to a transfer, to comply with: </w:t>
      </w:r>
    </w:p>
    <w:p w14:paraId="29D51703" w14:textId="56843FB0" w:rsidR="00EE56A7" w:rsidRDefault="00EE56A7">
      <w:pPr>
        <w:pStyle w:val="MRheading5"/>
        <w:spacing w:line="240" w:lineRule="auto"/>
      </w:pPr>
      <w:r>
        <w:t xml:space="preserve">the obligations of a Data Controller (as </w:t>
      </w:r>
      <w:r w:rsidR="00330B85">
        <w:t>set out in</w:t>
      </w:r>
      <w:r>
        <w:t xml:space="preserve"> </w:t>
      </w:r>
      <w:r w:rsidR="00444D57">
        <w:t xml:space="preserve">the </w:t>
      </w:r>
      <w:r w:rsidR="009C6E85">
        <w:t>Data Protection Legislation</w:t>
      </w:r>
      <w:r>
        <w:t xml:space="preserve">) under </w:t>
      </w:r>
      <w:r w:rsidR="00330B85">
        <w:t>Article 46</w:t>
      </w:r>
      <w:r w:rsidR="00203614">
        <w:t xml:space="preserve"> of the</w:t>
      </w:r>
      <w:r w:rsidR="00330B85">
        <w:t xml:space="preserve"> </w:t>
      </w:r>
      <w:r w:rsidR="00C27CB0">
        <w:t xml:space="preserve">UK </w:t>
      </w:r>
      <w:r w:rsidR="00203614" w:rsidRPr="00DE260E">
        <w:rPr>
          <w:rFonts w:cs="Arial"/>
        </w:rPr>
        <w:t xml:space="preserve">General Data </w:t>
      </w:r>
      <w:r w:rsidR="00203614" w:rsidRPr="00DE260E">
        <w:rPr>
          <w:rFonts w:cs="Arial"/>
        </w:rPr>
        <w:lastRenderedPageBreak/>
        <w:t>Protection Regulation</w:t>
      </w:r>
      <w:r w:rsidR="00203614">
        <w:rPr>
          <w:rFonts w:cs="Arial"/>
        </w:rPr>
        <w:t>, including by entering into appropriate standard data protection clauses (pursuant to the</w:t>
      </w:r>
      <w:r w:rsidR="00E6142C">
        <w:rPr>
          <w:rFonts w:cs="Arial"/>
        </w:rPr>
        <w:t xml:space="preserve"> UK</w:t>
      </w:r>
      <w:r w:rsidR="00203614">
        <w:rPr>
          <w:rFonts w:cs="Arial"/>
        </w:rPr>
        <w:t xml:space="preserve"> </w:t>
      </w:r>
      <w:r w:rsidR="00203614" w:rsidRPr="00DE260E">
        <w:rPr>
          <w:rFonts w:cs="Arial"/>
        </w:rPr>
        <w:t>General Data Prot</w:t>
      </w:r>
      <w:r w:rsidR="00203614">
        <w:rPr>
          <w:rFonts w:cs="Arial"/>
        </w:rPr>
        <w:t xml:space="preserve">ection </w:t>
      </w:r>
      <w:r w:rsidR="002561DA">
        <w:rPr>
          <w:rFonts w:cs="Arial"/>
        </w:rPr>
        <w:t>Regulation)</w:t>
      </w:r>
      <w:r w:rsidR="002561DA" w:rsidRPr="00DE260E">
        <w:rPr>
          <w:rFonts w:cs="Arial"/>
        </w:rPr>
        <w:t xml:space="preserve"> </w:t>
      </w:r>
      <w:r w:rsidR="002561DA">
        <w:t>and</w:t>
      </w:r>
      <w:r w:rsidR="00203614">
        <w:t xml:space="preserve"> </w:t>
      </w:r>
      <w:r>
        <w:t>by providing an adequate level of protection to any Personal Data that is transferred; and</w:t>
      </w:r>
    </w:p>
    <w:p w14:paraId="6EE0A24F" w14:textId="77777777" w:rsidR="00EE56A7" w:rsidRDefault="00EE56A7">
      <w:pPr>
        <w:pStyle w:val="MRheading5"/>
        <w:spacing w:line="240" w:lineRule="auto"/>
      </w:pPr>
      <w:r>
        <w:t>any reasonable instructions notified to it by the Controller Party.</w:t>
      </w:r>
    </w:p>
    <w:p w14:paraId="3ABF90D5" w14:textId="761246FC" w:rsidR="00EE56A7" w:rsidRDefault="00EE56A7" w:rsidP="0095685B">
      <w:pPr>
        <w:pStyle w:val="MRheading4"/>
        <w:spacing w:line="240" w:lineRule="auto"/>
      </w:pPr>
      <w:r>
        <w:t xml:space="preserve">not assign, transfer or sub-contract any right or obligation under this paragraph </w:t>
      </w:r>
      <w:r>
        <w:fldChar w:fldCharType="begin"/>
      </w:r>
      <w:r>
        <w:instrText xml:space="preserve"> REF _Ref319074459 \r \h </w:instrText>
      </w:r>
      <w:r w:rsidR="00EC5CC0">
        <w:instrText xml:space="preserve"> \* MERGEFORMAT </w:instrText>
      </w:r>
      <w:r>
        <w:fldChar w:fldCharType="separate"/>
      </w:r>
      <w:r w:rsidR="006B5F2E">
        <w:t>11</w:t>
      </w:r>
      <w:r>
        <w:fldChar w:fldCharType="end"/>
      </w:r>
      <w:r>
        <w:t xml:space="preserve"> without the Controller Party’s prior written consent.</w:t>
      </w:r>
    </w:p>
    <w:p w14:paraId="62241704" w14:textId="16253C6B" w:rsidR="00EE56A7" w:rsidRDefault="01A3A62F">
      <w:pPr>
        <w:pStyle w:val="MRheading2"/>
        <w:spacing w:line="240" w:lineRule="auto"/>
      </w:pPr>
      <w:r>
        <w:t xml:space="preserve">The Processing Party and Controller Party shall discuss and agree appropriate security measures to be implemented in respect of the exchange of </w:t>
      </w:r>
      <w:r w:rsidR="4C574C7F">
        <w:t>GHWP</w:t>
      </w:r>
      <w:r>
        <w:t xml:space="preserve"> data and other data including without limitation Personal Data, between the </w:t>
      </w:r>
      <w:r w:rsidR="6FB69475">
        <w:t>Parties</w:t>
      </w:r>
      <w:r>
        <w:t>.</w:t>
      </w:r>
    </w:p>
    <w:p w14:paraId="1D93D3EA" w14:textId="77777777" w:rsidR="00EE56A7" w:rsidRDefault="00EE56A7">
      <w:pPr>
        <w:pStyle w:val="MRheading2"/>
        <w:spacing w:line="240" w:lineRule="auto"/>
      </w:pPr>
      <w:r>
        <w:t>The Processing Party will allow its data processing facilities, procedures and documentation which relate to the processing of the Personal Data to be scrutinised by the employees or agents of the Controller Party, in order to ascertain compliance with the terms of this Agreement.</w:t>
      </w:r>
    </w:p>
    <w:p w14:paraId="4B357B38" w14:textId="4C99F730" w:rsidR="00EE56A7" w:rsidRDefault="007B667E">
      <w:pPr>
        <w:pStyle w:val="MRheading2"/>
        <w:spacing w:line="240" w:lineRule="auto"/>
      </w:pPr>
      <w:r>
        <w:t>Each Party</w:t>
      </w:r>
      <w:r w:rsidR="00EE56A7" w:rsidRPr="00745F8E">
        <w:t xml:space="preserve"> shall comply at all times with the </w:t>
      </w:r>
      <w:r w:rsidR="00EE56A7">
        <w:t xml:space="preserve">Data Protection Legislation </w:t>
      </w:r>
      <w:r w:rsidR="00EE56A7" w:rsidRPr="00745F8E">
        <w:t xml:space="preserve">and shall not perform its obligations under this </w:t>
      </w:r>
      <w:r w:rsidR="00EE56A7">
        <w:t>Agreement</w:t>
      </w:r>
      <w:r w:rsidR="00EE56A7" w:rsidRPr="00745F8E">
        <w:t xml:space="preserve"> in such a way as to cause </w:t>
      </w:r>
      <w:r w:rsidR="005B0088">
        <w:t>the other Party</w:t>
      </w:r>
      <w:r w:rsidR="00EE56A7">
        <w:t xml:space="preserve"> t</w:t>
      </w:r>
      <w:r w:rsidR="00EE56A7" w:rsidRPr="00745F8E">
        <w:t>o breach any of its applicable obligations under the</w:t>
      </w:r>
      <w:r w:rsidR="00EE56A7">
        <w:t xml:space="preserve"> Data Protection Legislation</w:t>
      </w:r>
      <w:r w:rsidR="00EE56A7" w:rsidRPr="00745F8E">
        <w:t>.</w:t>
      </w:r>
    </w:p>
    <w:p w14:paraId="5DC4EA8F" w14:textId="5F187E54" w:rsidR="00EE56A7" w:rsidRDefault="00EE56A7">
      <w:pPr>
        <w:pStyle w:val="MRheading2"/>
        <w:spacing w:line="240" w:lineRule="auto"/>
      </w:pPr>
      <w:r>
        <w:t>The rights and obligations set out in this Agreement shall automatically terminate upon the expiry of this Agreement.</w:t>
      </w:r>
      <w:r w:rsidR="00564202">
        <w:t xml:space="preserve"> </w:t>
      </w:r>
      <w:r>
        <w:t xml:space="preserve">On termination of this Agreement the Processing Party will cease processing the Personal Data and return the Personal Data to the Controller </w:t>
      </w:r>
      <w:r w:rsidR="00A65B5D">
        <w:t>Party or</w:t>
      </w:r>
      <w:r>
        <w:t xml:space="preserve"> destroy the Personal Data as the Controller Party requests.</w:t>
      </w:r>
    </w:p>
    <w:p w14:paraId="05545A5D" w14:textId="77777777" w:rsidR="008D1406" w:rsidRPr="00D67AEC" w:rsidRDefault="008D1406">
      <w:pPr>
        <w:pStyle w:val="MRheading1"/>
        <w:spacing w:line="240" w:lineRule="auto"/>
        <w:rPr>
          <w:color w:val="000000"/>
        </w:rPr>
      </w:pPr>
      <w:bookmarkStart w:id="43" w:name="_Toc123833004"/>
      <w:r w:rsidRPr="00D67AEC">
        <w:t>Procurement Law, Subsidy Control</w:t>
      </w:r>
      <w:r>
        <w:t xml:space="preserve"> </w:t>
      </w:r>
      <w:r w:rsidRPr="00D67AEC">
        <w:t>and Value for Money</w:t>
      </w:r>
      <w:bookmarkEnd w:id="43"/>
    </w:p>
    <w:p w14:paraId="101B59D6" w14:textId="37E9D619" w:rsidR="008D1406" w:rsidRPr="00D67AEC" w:rsidRDefault="008D1406">
      <w:pPr>
        <w:pStyle w:val="MRheading2"/>
        <w:spacing w:line="240" w:lineRule="auto"/>
        <w:rPr>
          <w:color w:val="000000"/>
        </w:rPr>
      </w:pPr>
      <w:r w:rsidRPr="00D67AEC">
        <w:t xml:space="preserve">The </w:t>
      </w:r>
      <w:r>
        <w:t>Lead Partner</w:t>
      </w:r>
      <w:r w:rsidRPr="00D67AEC">
        <w:t xml:space="preserve"> will ensure that any of its Representatives involved in the Funded Activities will, adopt such policies and procedures that are required in order to ensure that value for money has been obtained in the procurement of goods or services funded by the Grant.</w:t>
      </w:r>
      <w:r>
        <w:t xml:space="preserve"> </w:t>
      </w:r>
    </w:p>
    <w:p w14:paraId="04521520" w14:textId="45AE0656" w:rsidR="008D1406" w:rsidRPr="00D67AEC" w:rsidRDefault="008D1406">
      <w:pPr>
        <w:pStyle w:val="MRheading2"/>
        <w:spacing w:line="240" w:lineRule="auto"/>
        <w:rPr>
          <w:color w:val="000000"/>
        </w:rPr>
      </w:pPr>
      <w:r w:rsidRPr="00D67AEC">
        <w:t xml:space="preserve">Where the </w:t>
      </w:r>
      <w:r>
        <w:t>Lead Partner</w:t>
      </w:r>
      <w:r w:rsidRPr="00D67AEC">
        <w:t xml:space="preserve"> is a Contracting Authority </w:t>
      </w:r>
      <w:r w:rsidR="000767D3">
        <w:t>(</w:t>
      </w:r>
      <w:r w:rsidR="008B1A89">
        <w:t>as defined in the</w:t>
      </w:r>
      <w:r w:rsidRPr="00D67AEC">
        <w:t xml:space="preserve"> Procurement Regulations</w:t>
      </w:r>
      <w:r w:rsidR="000767D3">
        <w:t>)</w:t>
      </w:r>
      <w:r w:rsidRPr="00D67AEC">
        <w:t xml:space="preserve"> the </w:t>
      </w:r>
      <w:r w:rsidR="0098070C">
        <w:t>Lead Partner</w:t>
      </w:r>
      <w:r w:rsidR="0098070C" w:rsidRPr="00D67AEC">
        <w:t xml:space="preserve"> </w:t>
      </w:r>
      <w:r w:rsidRPr="00D67AEC">
        <w:t xml:space="preserve">will comply, as necessary, with the Procurement Regulations when procuring goods and services in connection with </w:t>
      </w:r>
      <w:r w:rsidR="009C133A">
        <w:t>this Agreement</w:t>
      </w:r>
      <w:r w:rsidRPr="00D67AEC">
        <w:t xml:space="preserve"> and </w:t>
      </w:r>
      <w:r w:rsidR="004D2628">
        <w:t xml:space="preserve">both </w:t>
      </w:r>
      <w:r>
        <w:t>THET</w:t>
      </w:r>
      <w:r w:rsidR="004D2628">
        <w:t xml:space="preserve"> and DHSC </w:t>
      </w:r>
      <w:r w:rsidRPr="00D67AEC">
        <w:t xml:space="preserve">shall not be liable for the </w:t>
      </w:r>
      <w:r>
        <w:t>Lead Partner’s</w:t>
      </w:r>
      <w:r w:rsidRPr="00D67AEC">
        <w:t xml:space="preserve"> failure to comply with its obligations under the Procurement Regulations.</w:t>
      </w:r>
    </w:p>
    <w:p w14:paraId="5C0130CF" w14:textId="22373390" w:rsidR="008D1406" w:rsidRPr="00D67AEC" w:rsidRDefault="008D1406">
      <w:pPr>
        <w:pStyle w:val="MRheading2"/>
        <w:spacing w:line="240" w:lineRule="auto"/>
        <w:rPr>
          <w:color w:val="000000"/>
        </w:rPr>
      </w:pPr>
      <w:r w:rsidRPr="00D67AEC">
        <w:t xml:space="preserve">The </w:t>
      </w:r>
      <w:r>
        <w:t>Lead Partner</w:t>
      </w:r>
      <w:r w:rsidRPr="00D67AEC">
        <w:t xml:space="preserve"> will ensure that delivery of the Funded Activities does not put </w:t>
      </w:r>
      <w:r w:rsidR="004D2628">
        <w:t xml:space="preserve">THET or DHSC </w:t>
      </w:r>
      <w:r w:rsidRPr="00D67AEC">
        <w:t>in breach of the UK’s international obligations in respect of subsidies.</w:t>
      </w:r>
    </w:p>
    <w:p w14:paraId="34BA5A47" w14:textId="172AE493" w:rsidR="008D1406" w:rsidRPr="00C97EC3" w:rsidRDefault="008D1406">
      <w:pPr>
        <w:pStyle w:val="MRheading2"/>
        <w:spacing w:line="240" w:lineRule="auto"/>
        <w:rPr>
          <w:color w:val="000000"/>
        </w:rPr>
      </w:pPr>
      <w:r w:rsidRPr="00D67AEC">
        <w:t xml:space="preserve">The </w:t>
      </w:r>
      <w:r>
        <w:t>Lead Partner</w:t>
      </w:r>
      <w:r w:rsidRPr="00D67AEC">
        <w:t xml:space="preserve"> will maintain appropriate records of compliance with the relevant subsidy control regime and will take all reasonable steps to assist the </w:t>
      </w:r>
      <w:r w:rsidR="004D2628">
        <w:t>THET and DHSC</w:t>
      </w:r>
      <w:r w:rsidRPr="00D67AEC">
        <w:t xml:space="preserve"> to comply with the same and respond to any proceedings or investigation(s) into the Funded Activities by any relevant court or tribunal of relevant jurisdiction or regulatory body.</w:t>
      </w:r>
    </w:p>
    <w:p w14:paraId="638FA1D6" w14:textId="7D499B49" w:rsidR="00C4771F" w:rsidRPr="00C97EC3" w:rsidRDefault="00C4771F" w:rsidP="00C4771F">
      <w:pPr>
        <w:pStyle w:val="MRheading2"/>
        <w:spacing w:line="240" w:lineRule="auto"/>
      </w:pPr>
      <w:r w:rsidRPr="00C97EC3">
        <w:lastRenderedPageBreak/>
        <w:t xml:space="preserve">The </w:t>
      </w:r>
      <w:r>
        <w:t>Lead Partner</w:t>
      </w:r>
      <w:r w:rsidRPr="00C97EC3">
        <w:t xml:space="preserve"> acknowledges and accepts that the Grant is awarded on the basis that the Funded Activities being undertaken using the Grant are, and will remain, non-economic activities.  The </w:t>
      </w:r>
      <w:r>
        <w:t>Lead Partner</w:t>
      </w:r>
      <w:r w:rsidRPr="00C97EC3">
        <w:t xml:space="preserve"> shall ensure that measures are taken (where necessary), and maintained, to ensure that the Grant is not used to cross-subsidise any economic activity.</w:t>
      </w:r>
    </w:p>
    <w:p w14:paraId="6C2630E7" w14:textId="5DF272B6" w:rsidR="008D1406" w:rsidRPr="00D67AEC" w:rsidRDefault="008D1406">
      <w:pPr>
        <w:pStyle w:val="MRheading2"/>
        <w:spacing w:line="240" w:lineRule="auto"/>
        <w:rPr>
          <w:color w:val="000000"/>
        </w:rPr>
      </w:pPr>
      <w:r w:rsidRPr="00D67AEC">
        <w:t xml:space="preserve">The </w:t>
      </w:r>
      <w:r>
        <w:t>Lead Partner</w:t>
      </w:r>
      <w:r w:rsidRPr="00D67AEC">
        <w:t xml:space="preserve"> acknowledges and represents that the Grant is being awarded on the basis that the Funded Activities being undertaken using the Grant do not affect trade in goods and wholesale electricity between Northern Ireland and the European Union and shall ensure that the Grant is not used in way that affects any such trade.</w:t>
      </w:r>
    </w:p>
    <w:p w14:paraId="66675A45" w14:textId="77777777" w:rsidR="00EE56A7" w:rsidRDefault="00EE56A7">
      <w:pPr>
        <w:pStyle w:val="MRheading1"/>
        <w:spacing w:line="240" w:lineRule="auto"/>
      </w:pPr>
      <w:bookmarkStart w:id="44" w:name="_Ref319072863"/>
      <w:r>
        <w:t>Rectification</w:t>
      </w:r>
      <w:bookmarkEnd w:id="44"/>
    </w:p>
    <w:p w14:paraId="25FEFF9B" w14:textId="395B9EE1" w:rsidR="00EE56A7" w:rsidRPr="00D87384" w:rsidRDefault="00EE56A7">
      <w:pPr>
        <w:pStyle w:val="MRheading2"/>
        <w:spacing w:line="240" w:lineRule="auto"/>
      </w:pPr>
      <w:r>
        <w:rPr>
          <w:rFonts w:cs="Arial"/>
          <w:szCs w:val="22"/>
        </w:rPr>
        <w:t xml:space="preserve">In the event THET and/or </w:t>
      </w:r>
      <w:r w:rsidR="00B76D2C">
        <w:rPr>
          <w:rFonts w:cs="Arial"/>
          <w:szCs w:val="22"/>
        </w:rPr>
        <w:t>DHSC</w:t>
      </w:r>
      <w:r>
        <w:rPr>
          <w:rFonts w:cs="Arial"/>
          <w:szCs w:val="22"/>
        </w:rPr>
        <w:t>:</w:t>
      </w:r>
    </w:p>
    <w:p w14:paraId="42A09E6C" w14:textId="3F842DAC" w:rsidR="00EE56A7" w:rsidRDefault="01A3A62F">
      <w:pPr>
        <w:pStyle w:val="MRheading3"/>
        <w:spacing w:line="240" w:lineRule="auto"/>
      </w:pPr>
      <w:r>
        <w:t xml:space="preserve">considers the performance of any activity undertaken by the </w:t>
      </w:r>
      <w:r w:rsidR="7D62A095">
        <w:t>Lead Partner</w:t>
      </w:r>
      <w:r>
        <w:t xml:space="preserve"> or any Partner using Grant funds is not in accordance with the terms of this Agreement or in line with the </w:t>
      </w:r>
      <w:r w:rsidR="4C574C7F">
        <w:t>GHWP</w:t>
      </w:r>
      <w:r>
        <w:t xml:space="preserve"> </w:t>
      </w:r>
      <w:r w:rsidR="653B2BEC">
        <w:t xml:space="preserve"> </w:t>
      </w:r>
      <w:r>
        <w:t>objectives; or</w:t>
      </w:r>
    </w:p>
    <w:p w14:paraId="26EA6928" w14:textId="2D529F77" w:rsidR="00EE56A7" w:rsidRDefault="00EE56A7">
      <w:pPr>
        <w:pStyle w:val="MRheading3"/>
        <w:spacing w:line="240" w:lineRule="auto"/>
      </w:pPr>
      <w:r>
        <w:rPr>
          <w:rFonts w:cs="Arial"/>
          <w:szCs w:val="22"/>
        </w:rPr>
        <w:t>r</w:t>
      </w:r>
      <w:r w:rsidRPr="00295439">
        <w:rPr>
          <w:rFonts w:cs="Arial"/>
          <w:szCs w:val="22"/>
        </w:rPr>
        <w:t xml:space="preserve">equires additional information or considers that any report and/or other documentation provided by the </w:t>
      </w:r>
      <w:r w:rsidR="00632356">
        <w:rPr>
          <w:rFonts w:cs="Arial"/>
          <w:szCs w:val="22"/>
        </w:rPr>
        <w:t>Lead Partner</w:t>
      </w:r>
      <w:r w:rsidRPr="00295439">
        <w:rPr>
          <w:rFonts w:cs="Arial"/>
          <w:szCs w:val="22"/>
        </w:rPr>
        <w:t xml:space="preserve"> und</w:t>
      </w:r>
      <w:r>
        <w:rPr>
          <w:rFonts w:cs="Arial"/>
          <w:szCs w:val="22"/>
        </w:rPr>
        <w:t>er this Agreement is deficient;</w:t>
      </w:r>
    </w:p>
    <w:p w14:paraId="09D0E7CB" w14:textId="5B9BF516" w:rsidR="00EE56A7" w:rsidRDefault="00EE56A7">
      <w:pPr>
        <w:pStyle w:val="MRheading3"/>
        <w:numPr>
          <w:ilvl w:val="0"/>
          <w:numId w:val="0"/>
        </w:numPr>
        <w:spacing w:line="240" w:lineRule="auto"/>
        <w:ind w:left="720"/>
      </w:pPr>
      <w:r>
        <w:t xml:space="preserve">it shall notify the </w:t>
      </w:r>
      <w:r w:rsidR="00632356">
        <w:t>Lead Partner</w:t>
      </w:r>
      <w:r>
        <w:t xml:space="preserve"> of its concerns and specify any action required to rectify the situation</w:t>
      </w:r>
      <w:r w:rsidRPr="002F6CB7">
        <w:t xml:space="preserve"> </w:t>
      </w:r>
      <w:r>
        <w:t xml:space="preserve">and a timescale within which such remedial action must be taken. </w:t>
      </w:r>
      <w:r w:rsidR="00632356">
        <w:t>Lead Partner</w:t>
      </w:r>
      <w:r w:rsidR="00203614">
        <w:t xml:space="preserve"> shall, and/or shall procure that any Partners shall, comply with such remedial action within the applicable timescales</w:t>
      </w:r>
      <w:r w:rsidR="00FA3D47">
        <w:t xml:space="preserve"> (and </w:t>
      </w:r>
      <w:r w:rsidR="001F312C">
        <w:t xml:space="preserve">it being acknowledged that </w:t>
      </w:r>
      <w:r w:rsidR="0012783D">
        <w:t xml:space="preserve">any </w:t>
      </w:r>
      <w:r w:rsidR="001F312C">
        <w:t xml:space="preserve">such </w:t>
      </w:r>
      <w:r w:rsidR="00FA3D47">
        <w:t xml:space="preserve">timescale </w:t>
      </w:r>
      <w:r w:rsidR="001F312C">
        <w:t xml:space="preserve">shall </w:t>
      </w:r>
      <w:r w:rsidR="00FA3D47">
        <w:t xml:space="preserve">not </w:t>
      </w:r>
      <w:r w:rsidR="002B2CE0">
        <w:t xml:space="preserve">be </w:t>
      </w:r>
      <w:r w:rsidR="00FA3D47">
        <w:t xml:space="preserve">more than </w:t>
      </w:r>
      <w:r w:rsidR="00C4771F">
        <w:t>twenty (</w:t>
      </w:r>
      <w:r w:rsidR="00FA3D47">
        <w:t>20</w:t>
      </w:r>
      <w:r w:rsidR="00C4771F">
        <w:t>)</w:t>
      </w:r>
      <w:r w:rsidR="00FA3D47">
        <w:t xml:space="preserve"> </w:t>
      </w:r>
      <w:r w:rsidR="001F312C">
        <w:t>W</w:t>
      </w:r>
      <w:r w:rsidR="00FA3D47">
        <w:t xml:space="preserve">orking </w:t>
      </w:r>
      <w:r w:rsidR="001F312C">
        <w:t>D</w:t>
      </w:r>
      <w:r w:rsidR="00FA3D47">
        <w:t>ays</w:t>
      </w:r>
      <w:r w:rsidR="00FB3AD6">
        <w:t>)</w:t>
      </w:r>
      <w:r w:rsidR="00203614">
        <w:t xml:space="preserve"> notified to </w:t>
      </w:r>
      <w:r w:rsidR="00632356">
        <w:t>Lead Partner</w:t>
      </w:r>
      <w:r w:rsidR="00203614">
        <w:t xml:space="preserve"> pursuant to this paragraph.</w:t>
      </w:r>
    </w:p>
    <w:p w14:paraId="2E591C6E" w14:textId="77777777" w:rsidR="00EE56A7" w:rsidRPr="00845072" w:rsidRDefault="00EE56A7">
      <w:pPr>
        <w:pStyle w:val="MRheading1"/>
        <w:spacing w:line="240" w:lineRule="auto"/>
      </w:pPr>
      <w:bookmarkStart w:id="45" w:name="_Ref319073136"/>
      <w:r w:rsidRPr="007A32F4">
        <w:t>Withholding</w:t>
      </w:r>
      <w:r w:rsidRPr="00845072">
        <w:t xml:space="preserve">, Suspending </w:t>
      </w:r>
      <w:r>
        <w:t>a</w:t>
      </w:r>
      <w:r w:rsidRPr="00845072">
        <w:t>nd Repa</w:t>
      </w:r>
      <w:r>
        <w:t>yment o</w:t>
      </w:r>
      <w:r w:rsidRPr="00845072">
        <w:t>f Grant</w:t>
      </w:r>
      <w:bookmarkEnd w:id="45"/>
      <w:r w:rsidRPr="00845072">
        <w:t xml:space="preserve"> </w:t>
      </w:r>
    </w:p>
    <w:p w14:paraId="2BA47EF4" w14:textId="02DC404E" w:rsidR="00EE56A7" w:rsidRPr="007A32F4" w:rsidRDefault="00EE56A7">
      <w:pPr>
        <w:pStyle w:val="MRheading2"/>
        <w:spacing w:line="240" w:lineRule="auto"/>
        <w:rPr>
          <w:rFonts w:cs="Arial"/>
          <w:szCs w:val="22"/>
        </w:rPr>
      </w:pPr>
      <w:bookmarkStart w:id="46" w:name="_Ref319062848"/>
      <w:r w:rsidRPr="00AD5A65">
        <w:t xml:space="preserve">THET's intention is that the Grant will be paid to the </w:t>
      </w:r>
      <w:r w:rsidR="00632356">
        <w:t>Lead Partner</w:t>
      </w:r>
      <w:r w:rsidRPr="00AD5A65">
        <w:t xml:space="preserve"> in full. However, without prejudice to THET's other rights and remedies</w:t>
      </w:r>
      <w:r w:rsidR="001D3C7E">
        <w:t xml:space="preserve"> under this Agreement, at law or otherwise</w:t>
      </w:r>
      <w:r w:rsidRPr="00AD5A65">
        <w:t>, THET</w:t>
      </w:r>
      <w:r w:rsidR="0069441E">
        <w:t xml:space="preserve"> </w:t>
      </w:r>
      <w:r w:rsidRPr="00AD5A65">
        <w:t xml:space="preserve">may at its </w:t>
      </w:r>
      <w:r>
        <w:t xml:space="preserve">sole </w:t>
      </w:r>
      <w:r w:rsidRPr="00AD5A65">
        <w:rPr>
          <w:rFonts w:cs="Arial"/>
          <w:szCs w:val="22"/>
        </w:rPr>
        <w:t xml:space="preserve">discretion </w:t>
      </w:r>
      <w:r w:rsidRPr="007A32F4">
        <w:rPr>
          <w:rFonts w:cs="Arial"/>
          <w:szCs w:val="22"/>
        </w:rPr>
        <w:t xml:space="preserve">suspend this Agreement and withhold or suspend payment of the Grant monies </w:t>
      </w:r>
      <w:r>
        <w:rPr>
          <w:rFonts w:cs="Arial"/>
          <w:szCs w:val="22"/>
        </w:rPr>
        <w:t xml:space="preserve">or any Instalment(s) </w:t>
      </w:r>
      <w:r w:rsidRPr="007A32F4">
        <w:rPr>
          <w:rFonts w:cs="Arial"/>
          <w:szCs w:val="22"/>
        </w:rPr>
        <w:t>and/or require</w:t>
      </w:r>
      <w:r w:rsidR="0011323E">
        <w:rPr>
          <w:rFonts w:cs="Arial"/>
          <w:szCs w:val="22"/>
        </w:rPr>
        <w:t xml:space="preserve"> the immediate</w:t>
      </w:r>
      <w:r w:rsidRPr="007A32F4">
        <w:rPr>
          <w:rFonts w:cs="Arial"/>
          <w:szCs w:val="22"/>
        </w:rPr>
        <w:t xml:space="preserve"> repayment of all or part of the Grant already paid if:</w:t>
      </w:r>
      <w:bookmarkEnd w:id="46"/>
      <w:r w:rsidRPr="007A32F4">
        <w:rPr>
          <w:rFonts w:cs="Arial"/>
          <w:szCs w:val="22"/>
        </w:rPr>
        <w:t xml:space="preserve"> </w:t>
      </w:r>
    </w:p>
    <w:p w14:paraId="60A72C0F" w14:textId="796288F7" w:rsidR="00EE56A7" w:rsidRDefault="00EE56A7">
      <w:pPr>
        <w:pStyle w:val="MRheading3"/>
        <w:spacing w:line="240" w:lineRule="auto"/>
        <w:rPr>
          <w:rFonts w:cs="Arial"/>
          <w:szCs w:val="22"/>
        </w:rPr>
      </w:pPr>
      <w:r w:rsidRPr="00AD5A65">
        <w:t>the Grant</w:t>
      </w:r>
      <w:r>
        <w:t xml:space="preserve"> is used</w:t>
      </w:r>
      <w:r w:rsidRPr="00AD5A65">
        <w:t xml:space="preserve"> for purposes other than those for which </w:t>
      </w:r>
      <w:r>
        <w:rPr>
          <w:rFonts w:cs="Arial"/>
          <w:szCs w:val="22"/>
        </w:rPr>
        <w:t>it</w:t>
      </w:r>
      <w:r w:rsidRPr="00AD5A65">
        <w:rPr>
          <w:rFonts w:cs="Arial"/>
          <w:szCs w:val="22"/>
        </w:rPr>
        <w:t xml:space="preserve"> </w:t>
      </w:r>
      <w:r w:rsidR="00E457B8" w:rsidRPr="00AD5A65">
        <w:rPr>
          <w:rFonts w:cs="Arial"/>
          <w:szCs w:val="22"/>
        </w:rPr>
        <w:t>has</w:t>
      </w:r>
      <w:r w:rsidRPr="00AD5A65">
        <w:rPr>
          <w:rFonts w:cs="Arial"/>
          <w:szCs w:val="22"/>
        </w:rPr>
        <w:t xml:space="preserve"> been awarded; </w:t>
      </w:r>
    </w:p>
    <w:p w14:paraId="085217FD" w14:textId="6D8B72D9" w:rsidR="00EE56A7" w:rsidRPr="000D7BDB" w:rsidRDefault="01A3A62F" w:rsidP="7D6BE9DE">
      <w:pPr>
        <w:pStyle w:val="MRheading3"/>
        <w:spacing w:line="240" w:lineRule="auto"/>
        <w:rPr>
          <w:rFonts w:cs="Arial"/>
        </w:rPr>
      </w:pPr>
      <w:r w:rsidRPr="00AD5A65">
        <w:t xml:space="preserve">THET considers that the </w:t>
      </w:r>
      <w:r w:rsidR="7D62A095">
        <w:t>Lead Partner</w:t>
      </w:r>
      <w:r w:rsidRPr="00AD5A65">
        <w:t xml:space="preserve"> has not made satisfactory progress with </w:t>
      </w:r>
      <w:r w:rsidRPr="7D6BE9DE">
        <w:rPr>
          <w:rFonts w:cs="Arial"/>
        </w:rPr>
        <w:t xml:space="preserve">the delivery of the </w:t>
      </w:r>
      <w:r w:rsidR="4C574C7F" w:rsidRPr="7D6BE9DE">
        <w:rPr>
          <w:rFonts w:cs="Arial"/>
        </w:rPr>
        <w:t>GHWP</w:t>
      </w:r>
      <w:r w:rsidRPr="7D6BE9DE">
        <w:rPr>
          <w:rFonts w:cs="Arial"/>
        </w:rPr>
        <w:t xml:space="preserve"> </w:t>
      </w:r>
      <w:r w:rsidR="653B2BEC" w:rsidRPr="7D6BE9DE">
        <w:rPr>
          <w:rFonts w:cs="Arial"/>
        </w:rPr>
        <w:t xml:space="preserve"> </w:t>
      </w:r>
      <w:r w:rsidRPr="7D6BE9DE">
        <w:rPr>
          <w:rFonts w:cs="Arial"/>
        </w:rPr>
        <w:t xml:space="preserve">and has not rectified this in accordance with paragraph </w:t>
      </w:r>
      <w:r w:rsidR="00EE56A7" w:rsidRPr="7D6BE9DE">
        <w:rPr>
          <w:rFonts w:cs="Arial"/>
        </w:rPr>
        <w:fldChar w:fldCharType="begin"/>
      </w:r>
      <w:r w:rsidR="00EE56A7" w:rsidRPr="7D6BE9DE">
        <w:rPr>
          <w:rFonts w:cs="Arial"/>
        </w:rPr>
        <w:instrText xml:space="preserve"> REF _Ref319072863 \r \h </w:instrText>
      </w:r>
      <w:r w:rsidR="00EC5CC0" w:rsidRPr="7D6BE9DE">
        <w:rPr>
          <w:rFonts w:cs="Arial"/>
        </w:rPr>
        <w:instrText xml:space="preserve"> \* MERGEFORMAT </w:instrText>
      </w:r>
      <w:r w:rsidR="00EE56A7" w:rsidRPr="7D6BE9DE">
        <w:rPr>
          <w:rFonts w:cs="Arial"/>
        </w:rPr>
      </w:r>
      <w:r w:rsidR="00EE56A7" w:rsidRPr="7D6BE9DE">
        <w:rPr>
          <w:rFonts w:cs="Arial"/>
        </w:rPr>
        <w:fldChar w:fldCharType="separate"/>
      </w:r>
      <w:r w:rsidR="006B5F2E">
        <w:rPr>
          <w:rFonts w:cs="Arial"/>
        </w:rPr>
        <w:t>13</w:t>
      </w:r>
      <w:r w:rsidR="00EE56A7" w:rsidRPr="7D6BE9DE">
        <w:rPr>
          <w:rFonts w:cs="Arial"/>
        </w:rPr>
        <w:fldChar w:fldCharType="end"/>
      </w:r>
      <w:r w:rsidR="7F25C97D" w:rsidRPr="7D6BE9DE">
        <w:rPr>
          <w:rFonts w:cs="Arial"/>
        </w:rPr>
        <w:t xml:space="preserve"> (Rectification)</w:t>
      </w:r>
      <w:r w:rsidRPr="7D6BE9DE">
        <w:rPr>
          <w:rFonts w:cs="Arial"/>
        </w:rPr>
        <w:t xml:space="preserve"> above;</w:t>
      </w:r>
    </w:p>
    <w:p w14:paraId="506F04E6" w14:textId="336A0420" w:rsidR="00EE56A7" w:rsidRDefault="00EE56A7" w:rsidP="0095685B">
      <w:pPr>
        <w:pStyle w:val="MRheading3"/>
        <w:spacing w:line="240" w:lineRule="auto"/>
        <w:rPr>
          <w:rFonts w:cs="Arial"/>
          <w:szCs w:val="22"/>
        </w:rPr>
      </w:pPr>
      <w:r>
        <w:rPr>
          <w:rFonts w:cs="Arial"/>
          <w:szCs w:val="22"/>
        </w:rPr>
        <w:t xml:space="preserve">if the </w:t>
      </w:r>
      <w:r w:rsidR="00632356">
        <w:rPr>
          <w:rFonts w:cs="Arial"/>
          <w:szCs w:val="22"/>
        </w:rPr>
        <w:t>Lead Partner</w:t>
      </w:r>
      <w:r>
        <w:rPr>
          <w:rFonts w:cs="Arial"/>
          <w:szCs w:val="22"/>
        </w:rPr>
        <w:t xml:space="preserve"> submits deficient reports pursuant to paragraph </w:t>
      </w:r>
      <w:r>
        <w:rPr>
          <w:rFonts w:cs="Arial"/>
          <w:szCs w:val="22"/>
        </w:rPr>
        <w:fldChar w:fldCharType="begin"/>
      </w:r>
      <w:r>
        <w:rPr>
          <w:rFonts w:cs="Arial"/>
          <w:szCs w:val="22"/>
        </w:rPr>
        <w:instrText xml:space="preserve"> REF _Ref319072126 \r \h </w:instrText>
      </w:r>
      <w:r w:rsidR="00EC5CC0">
        <w:rPr>
          <w:rFonts w:cs="Arial"/>
          <w:szCs w:val="22"/>
        </w:rPr>
        <w:instrText xml:space="preserve"> \* MERGEFORMAT </w:instrText>
      </w:r>
      <w:r>
        <w:rPr>
          <w:rFonts w:cs="Arial"/>
          <w:szCs w:val="22"/>
        </w:rPr>
      </w:r>
      <w:r>
        <w:rPr>
          <w:rFonts w:cs="Arial"/>
          <w:szCs w:val="22"/>
        </w:rPr>
        <w:fldChar w:fldCharType="separate"/>
      </w:r>
      <w:r w:rsidR="006B5F2E">
        <w:rPr>
          <w:rFonts w:cs="Arial"/>
          <w:szCs w:val="22"/>
        </w:rPr>
        <w:t>6</w:t>
      </w:r>
      <w:r>
        <w:rPr>
          <w:rFonts w:cs="Arial"/>
          <w:szCs w:val="22"/>
        </w:rPr>
        <w:fldChar w:fldCharType="end"/>
      </w:r>
      <w:r w:rsidR="00AF50EF">
        <w:rPr>
          <w:rFonts w:cs="Arial"/>
          <w:szCs w:val="22"/>
        </w:rPr>
        <w:t xml:space="preserve"> (Monitoring and Reporting)</w:t>
      </w:r>
      <w:r>
        <w:rPr>
          <w:rFonts w:cs="Arial"/>
          <w:szCs w:val="22"/>
        </w:rPr>
        <w:t xml:space="preserve"> above and does not rectify such reports in accordance with paragraph </w:t>
      </w:r>
      <w:r>
        <w:rPr>
          <w:rFonts w:cs="Arial"/>
          <w:szCs w:val="22"/>
        </w:rPr>
        <w:fldChar w:fldCharType="begin"/>
      </w:r>
      <w:r>
        <w:rPr>
          <w:rFonts w:cs="Arial"/>
          <w:szCs w:val="22"/>
        </w:rPr>
        <w:instrText xml:space="preserve"> REF _Ref319072863 \r \h </w:instrText>
      </w:r>
      <w:r w:rsidR="00EC5CC0">
        <w:rPr>
          <w:rFonts w:cs="Arial"/>
          <w:szCs w:val="22"/>
        </w:rPr>
        <w:instrText xml:space="preserve"> \* MERGEFORMAT </w:instrText>
      </w:r>
      <w:r>
        <w:rPr>
          <w:rFonts w:cs="Arial"/>
          <w:szCs w:val="22"/>
        </w:rPr>
      </w:r>
      <w:r>
        <w:rPr>
          <w:rFonts w:cs="Arial"/>
          <w:szCs w:val="22"/>
        </w:rPr>
        <w:fldChar w:fldCharType="separate"/>
      </w:r>
      <w:r w:rsidR="006B5F2E">
        <w:rPr>
          <w:rFonts w:cs="Arial"/>
          <w:szCs w:val="22"/>
        </w:rPr>
        <w:t>13</w:t>
      </w:r>
      <w:r>
        <w:rPr>
          <w:rFonts w:cs="Arial"/>
          <w:szCs w:val="22"/>
        </w:rPr>
        <w:fldChar w:fldCharType="end"/>
      </w:r>
      <w:r w:rsidR="00AF50EF">
        <w:rPr>
          <w:rFonts w:cs="Arial"/>
          <w:szCs w:val="22"/>
        </w:rPr>
        <w:t xml:space="preserve"> (Rectification)</w:t>
      </w:r>
      <w:r>
        <w:rPr>
          <w:rFonts w:cs="Arial"/>
          <w:szCs w:val="22"/>
        </w:rPr>
        <w:t xml:space="preserve"> above;</w:t>
      </w:r>
    </w:p>
    <w:p w14:paraId="4E1BCA0A" w14:textId="136FAFFB" w:rsidR="00EE56A7" w:rsidRPr="007A32F4" w:rsidRDefault="01A3A62F">
      <w:pPr>
        <w:pStyle w:val="MRheading3"/>
        <w:spacing w:line="240" w:lineRule="auto"/>
      </w:pPr>
      <w:r w:rsidRPr="7D6BE9DE">
        <w:rPr>
          <w:rFonts w:cs="Arial"/>
        </w:rPr>
        <w:t xml:space="preserve">the delivery of the </w:t>
      </w:r>
      <w:r w:rsidR="4C574C7F" w:rsidRPr="7D6BE9DE">
        <w:rPr>
          <w:rFonts w:cs="Arial"/>
        </w:rPr>
        <w:t>GHWP</w:t>
      </w:r>
      <w:r w:rsidRPr="7D6BE9DE">
        <w:rPr>
          <w:rFonts w:cs="Arial"/>
        </w:rPr>
        <w:t xml:space="preserve"> does not start within three (3) months of </w:t>
      </w:r>
      <w:r>
        <w:t xml:space="preserve">the Commencement Date and the </w:t>
      </w:r>
      <w:r w:rsidR="7D62A095">
        <w:t>Lead Partner</w:t>
      </w:r>
      <w:r>
        <w:t xml:space="preserve"> has failed to provide THET with a reasonable explanation for the delay</w:t>
      </w:r>
      <w:r w:rsidR="29960C0B">
        <w:t xml:space="preserve"> (as determined by THET, acting reasonably)</w:t>
      </w:r>
      <w:r>
        <w:t xml:space="preserve">; </w:t>
      </w:r>
    </w:p>
    <w:p w14:paraId="1B22BD59" w14:textId="16406111" w:rsidR="00EE56A7" w:rsidRDefault="01A3A62F" w:rsidP="7D6BE9DE">
      <w:pPr>
        <w:pStyle w:val="MRheading3"/>
        <w:spacing w:line="240" w:lineRule="auto"/>
        <w:rPr>
          <w:rFonts w:cs="Arial"/>
        </w:rPr>
      </w:pPr>
      <w:r w:rsidRPr="007A32F4">
        <w:lastRenderedPageBreak/>
        <w:t xml:space="preserve">the </w:t>
      </w:r>
      <w:r w:rsidR="4C574C7F">
        <w:t>GHWP</w:t>
      </w:r>
      <w:r w:rsidRPr="7D6BE9DE">
        <w:rPr>
          <w:rFonts w:cs="Arial"/>
        </w:rPr>
        <w:t xml:space="preserve"> </w:t>
      </w:r>
      <w:r w:rsidR="653B2BEC" w:rsidRPr="7D6BE9DE">
        <w:rPr>
          <w:rFonts w:cs="Arial"/>
        </w:rPr>
        <w:t xml:space="preserve"> </w:t>
      </w:r>
      <w:r w:rsidRPr="7D6BE9DE">
        <w:rPr>
          <w:rFonts w:cs="Arial"/>
        </w:rPr>
        <w:t xml:space="preserve">is modified or in any aspect not completed pursuant to paragraphs </w:t>
      </w:r>
      <w:r w:rsidR="00EE56A7" w:rsidRPr="7D6BE9DE">
        <w:rPr>
          <w:rFonts w:cs="Arial"/>
        </w:rPr>
        <w:fldChar w:fldCharType="begin"/>
      </w:r>
      <w:r w:rsidR="00EE56A7" w:rsidRPr="7D6BE9DE">
        <w:rPr>
          <w:rFonts w:cs="Arial"/>
        </w:rPr>
        <w:instrText xml:space="preserve"> REF _Ref319072879 \r \h </w:instrText>
      </w:r>
      <w:r w:rsidR="00EC5CC0" w:rsidRPr="7D6BE9DE">
        <w:rPr>
          <w:rFonts w:cs="Arial"/>
        </w:rPr>
        <w:instrText xml:space="preserve"> \* MERGEFORMAT </w:instrText>
      </w:r>
      <w:r w:rsidR="00EE56A7" w:rsidRPr="7D6BE9DE">
        <w:rPr>
          <w:rFonts w:cs="Arial"/>
        </w:rPr>
      </w:r>
      <w:r w:rsidR="00EE56A7" w:rsidRPr="7D6BE9DE">
        <w:rPr>
          <w:rFonts w:cs="Arial"/>
        </w:rPr>
        <w:fldChar w:fldCharType="separate"/>
      </w:r>
      <w:r w:rsidR="006B5F2E">
        <w:rPr>
          <w:rFonts w:cs="Arial"/>
        </w:rPr>
        <w:t>1.1</w:t>
      </w:r>
      <w:r w:rsidR="00EE56A7" w:rsidRPr="7D6BE9DE">
        <w:rPr>
          <w:rFonts w:cs="Arial"/>
        </w:rPr>
        <w:fldChar w:fldCharType="end"/>
      </w:r>
      <w:r w:rsidR="265EC3EA" w:rsidRPr="7D6BE9DE">
        <w:rPr>
          <w:rFonts w:cs="Arial"/>
        </w:rPr>
        <w:t xml:space="preserve"> (Purpose of Grant)</w:t>
      </w:r>
      <w:r w:rsidRPr="7D6BE9DE">
        <w:rPr>
          <w:rFonts w:cs="Arial"/>
        </w:rPr>
        <w:t xml:space="preserve"> and </w:t>
      </w:r>
      <w:r w:rsidR="00EE56A7" w:rsidRPr="7D6BE9DE">
        <w:rPr>
          <w:rFonts w:cs="Arial"/>
        </w:rPr>
        <w:fldChar w:fldCharType="begin"/>
      </w:r>
      <w:r w:rsidR="00EE56A7" w:rsidRPr="7D6BE9DE">
        <w:rPr>
          <w:rFonts w:cs="Arial"/>
        </w:rPr>
        <w:instrText xml:space="preserve"> REF _Ref319072883 \r \h </w:instrText>
      </w:r>
      <w:r w:rsidR="00EC5CC0" w:rsidRPr="7D6BE9DE">
        <w:rPr>
          <w:rFonts w:cs="Arial"/>
        </w:rPr>
        <w:instrText xml:space="preserve"> \* MERGEFORMAT </w:instrText>
      </w:r>
      <w:r w:rsidR="00EE56A7" w:rsidRPr="7D6BE9DE">
        <w:rPr>
          <w:rFonts w:cs="Arial"/>
        </w:rPr>
      </w:r>
      <w:r w:rsidR="00EE56A7" w:rsidRPr="7D6BE9DE">
        <w:rPr>
          <w:rFonts w:cs="Arial"/>
        </w:rPr>
        <w:fldChar w:fldCharType="separate"/>
      </w:r>
      <w:r w:rsidR="006B5F2E">
        <w:rPr>
          <w:rFonts w:cs="Arial"/>
        </w:rPr>
        <w:t>1.2</w:t>
      </w:r>
      <w:r w:rsidR="00EE56A7" w:rsidRPr="7D6BE9DE">
        <w:rPr>
          <w:rFonts w:cs="Arial"/>
        </w:rPr>
        <w:fldChar w:fldCharType="end"/>
      </w:r>
      <w:r w:rsidR="265EC3EA" w:rsidRPr="7D6BE9DE">
        <w:rPr>
          <w:rFonts w:cs="Arial"/>
        </w:rPr>
        <w:t xml:space="preserve"> (Purpose of Grant)</w:t>
      </w:r>
      <w:r w:rsidRPr="7D6BE9DE">
        <w:rPr>
          <w:rFonts w:cs="Arial"/>
        </w:rPr>
        <w:t xml:space="preserve"> above;</w:t>
      </w:r>
      <w:r w:rsidR="7621E2AE" w:rsidRPr="7D6BE9DE">
        <w:rPr>
          <w:rFonts w:cs="Arial"/>
        </w:rPr>
        <w:t xml:space="preserve"> </w:t>
      </w:r>
    </w:p>
    <w:p w14:paraId="1EC6BF66" w14:textId="3BAC9619" w:rsidR="00EE56A7" w:rsidRDefault="01A3A62F" w:rsidP="7D6BE9DE">
      <w:pPr>
        <w:pStyle w:val="MRheading3"/>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or any Partner is, in the reasonable opinion of THET, delivering the </w:t>
      </w:r>
      <w:r w:rsidR="4C574C7F" w:rsidRPr="7D6BE9DE">
        <w:rPr>
          <w:rFonts w:cs="Arial"/>
        </w:rPr>
        <w:t>GHWP</w:t>
      </w:r>
      <w:r w:rsidRPr="7D6BE9DE">
        <w:rPr>
          <w:rFonts w:cs="Arial"/>
        </w:rPr>
        <w:t xml:space="preserve"> </w:t>
      </w:r>
      <w:r w:rsidR="653B2BEC" w:rsidRPr="7D6BE9DE">
        <w:rPr>
          <w:rFonts w:cs="Arial"/>
        </w:rPr>
        <w:t xml:space="preserve"> </w:t>
      </w:r>
      <w:r w:rsidRPr="7D6BE9DE">
        <w:rPr>
          <w:rFonts w:cs="Arial"/>
        </w:rPr>
        <w:t>in a negligent manner;</w:t>
      </w:r>
    </w:p>
    <w:p w14:paraId="73C70844" w14:textId="6B608570" w:rsidR="006401E7" w:rsidRPr="0079781C" w:rsidRDefault="01A3A62F" w:rsidP="7D6BE9DE">
      <w:pPr>
        <w:pStyle w:val="MRheading3"/>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obtains duplicate funding from a third party for the </w:t>
      </w:r>
      <w:r w:rsidR="4C574C7F" w:rsidRPr="7D6BE9DE">
        <w:rPr>
          <w:rFonts w:cs="Arial"/>
        </w:rPr>
        <w:t>GHWP</w:t>
      </w:r>
      <w:r w:rsidR="0F32D617">
        <w:t xml:space="preserve"> </w:t>
      </w:r>
      <w:r w:rsidR="653B2BEC">
        <w:t>project</w:t>
      </w:r>
      <w:r w:rsidR="7621E2AE">
        <w:t>;</w:t>
      </w:r>
      <w:r w:rsidR="653B2BEC">
        <w:t xml:space="preserve"> </w:t>
      </w:r>
    </w:p>
    <w:p w14:paraId="03804209" w14:textId="7B0DD4AD" w:rsidR="00EE56A7" w:rsidRPr="00C721F4" w:rsidRDefault="01A3A62F" w:rsidP="7D6BE9DE">
      <w:pPr>
        <w:pStyle w:val="MRheading3"/>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or any Partner obtains funding from a third party which, in the reasonable opinion of THET, undertakes activities that are likely to bring the reputation of the </w:t>
      </w:r>
      <w:r w:rsidR="4C574C7F" w:rsidRPr="7D6BE9DE">
        <w:rPr>
          <w:rFonts w:cs="Arial"/>
        </w:rPr>
        <w:t>GHWP</w:t>
      </w:r>
      <w:r w:rsidRPr="7D6BE9DE">
        <w:rPr>
          <w:rFonts w:cs="Arial"/>
        </w:rPr>
        <w:t xml:space="preserve">, </w:t>
      </w:r>
      <w:r w:rsidR="117E5794" w:rsidRPr="7D6BE9DE">
        <w:rPr>
          <w:rFonts w:cs="Arial"/>
        </w:rPr>
        <w:t>DHSC</w:t>
      </w:r>
      <w:r w:rsidRPr="7D6BE9DE">
        <w:rPr>
          <w:rFonts w:cs="Arial"/>
        </w:rPr>
        <w:t xml:space="preserve"> and/or THET into disrepute;</w:t>
      </w:r>
    </w:p>
    <w:p w14:paraId="6A7213B5" w14:textId="51B7FB28" w:rsidR="00EE56A7" w:rsidRPr="00173FCC" w:rsidRDefault="00EE56A7">
      <w:pPr>
        <w:pStyle w:val="MRheading3"/>
        <w:spacing w:line="240" w:lineRule="auto"/>
        <w:rPr>
          <w:rFonts w:cs="Arial"/>
          <w:szCs w:val="22"/>
        </w:rPr>
      </w:pPr>
      <w:r w:rsidRPr="00AD5A65">
        <w:t xml:space="preserve">the </w:t>
      </w:r>
      <w:r w:rsidR="00632356">
        <w:t>Lead Partner</w:t>
      </w:r>
      <w:r w:rsidRPr="007A32F4">
        <w:rPr>
          <w:rFonts w:cs="Arial"/>
          <w:szCs w:val="22"/>
        </w:rPr>
        <w:t xml:space="preserve"> provides THET with any materially misleading or inaccurate information</w:t>
      </w:r>
      <w:r w:rsidR="000C3109">
        <w:rPr>
          <w:rFonts w:cs="Arial"/>
          <w:szCs w:val="22"/>
        </w:rPr>
        <w:t xml:space="preserve"> or omits to provide THET with </w:t>
      </w:r>
      <w:r w:rsidR="00E02F12">
        <w:rPr>
          <w:rFonts w:cs="Arial"/>
          <w:szCs w:val="22"/>
        </w:rPr>
        <w:t xml:space="preserve">any </w:t>
      </w:r>
      <w:r w:rsidR="000C3109">
        <w:rPr>
          <w:rFonts w:cs="Arial"/>
          <w:szCs w:val="22"/>
        </w:rPr>
        <w:t>material information</w:t>
      </w:r>
      <w:r w:rsidRPr="007A32F4">
        <w:rPr>
          <w:rFonts w:cs="Arial"/>
          <w:szCs w:val="22"/>
        </w:rPr>
        <w:t>;</w:t>
      </w:r>
    </w:p>
    <w:p w14:paraId="356AE8B0" w14:textId="0AC576B0" w:rsidR="00EE56A7" w:rsidRDefault="00EE56A7">
      <w:pPr>
        <w:pStyle w:val="MRheading3"/>
        <w:spacing w:line="240" w:lineRule="auto"/>
        <w:rPr>
          <w:rFonts w:cs="Arial"/>
          <w:szCs w:val="22"/>
        </w:rPr>
      </w:pPr>
      <w:r w:rsidRPr="00AD5A65">
        <w:rPr>
          <w:rFonts w:cs="Arial"/>
          <w:szCs w:val="22"/>
        </w:rPr>
        <w:t xml:space="preserve">the </w:t>
      </w:r>
      <w:r w:rsidR="00632356">
        <w:rPr>
          <w:rFonts w:cs="Arial"/>
          <w:szCs w:val="22"/>
        </w:rPr>
        <w:t>Lead Partner</w:t>
      </w:r>
      <w:r w:rsidR="00591908">
        <w:rPr>
          <w:rFonts w:cs="Arial"/>
          <w:szCs w:val="22"/>
        </w:rPr>
        <w:t xml:space="preserve">, a </w:t>
      </w:r>
      <w:r>
        <w:rPr>
          <w:rFonts w:cs="Arial"/>
          <w:szCs w:val="22"/>
        </w:rPr>
        <w:t>Partner</w:t>
      </w:r>
      <w:r w:rsidR="00591908">
        <w:rPr>
          <w:rFonts w:cs="Arial"/>
          <w:szCs w:val="22"/>
        </w:rPr>
        <w:t xml:space="preserve">, or any of either of their </w:t>
      </w:r>
      <w:r w:rsidR="00591908" w:rsidRPr="00D67AEC">
        <w:t>staff, agents, consultants and sub-contractors</w:t>
      </w:r>
      <w:r>
        <w:rPr>
          <w:rFonts w:cs="Arial"/>
          <w:szCs w:val="22"/>
        </w:rPr>
        <w:t xml:space="preserve"> </w:t>
      </w:r>
      <w:r w:rsidRPr="00AD5A65">
        <w:rPr>
          <w:rFonts w:cs="Arial"/>
          <w:szCs w:val="22"/>
        </w:rPr>
        <w:t xml:space="preserve">commits or committed a </w:t>
      </w:r>
      <w:r>
        <w:rPr>
          <w:rFonts w:cs="Arial"/>
          <w:szCs w:val="22"/>
        </w:rPr>
        <w:t>Prohibited</w:t>
      </w:r>
      <w:r w:rsidRPr="00AD5A65">
        <w:rPr>
          <w:rFonts w:cs="Arial"/>
          <w:szCs w:val="22"/>
        </w:rPr>
        <w:t xml:space="preserve"> Act; </w:t>
      </w:r>
    </w:p>
    <w:p w14:paraId="616D6AEC" w14:textId="2ADC3B6E" w:rsidR="00EE56A7" w:rsidRDefault="01A3A62F" w:rsidP="7D6BE9DE">
      <w:pPr>
        <w:pStyle w:val="MRheading3"/>
        <w:spacing w:line="240" w:lineRule="auto"/>
        <w:rPr>
          <w:rFonts w:cs="Arial"/>
        </w:rPr>
      </w:pPr>
      <w:r w:rsidRPr="7D6BE9DE">
        <w:rPr>
          <w:rFonts w:cs="Arial"/>
        </w:rPr>
        <w:t xml:space="preserve">any member of the governing body, employee or volunteer of the </w:t>
      </w:r>
      <w:r w:rsidR="7D62A095" w:rsidRPr="7D6BE9DE">
        <w:rPr>
          <w:rFonts w:cs="Arial"/>
        </w:rPr>
        <w:t>Lead Partner</w:t>
      </w:r>
      <w:r w:rsidRPr="7D6BE9DE">
        <w:rPr>
          <w:rFonts w:cs="Arial"/>
        </w:rPr>
        <w:t xml:space="preserve"> has (a) acted dishonestly or negligently at any time and directly or indirectly to the detriment of the </w:t>
      </w:r>
      <w:r w:rsidR="4C574C7F" w:rsidRPr="7D6BE9DE">
        <w:rPr>
          <w:rFonts w:cs="Arial"/>
        </w:rPr>
        <w:t>GHWP</w:t>
      </w:r>
      <w:r w:rsidRPr="7D6BE9DE">
        <w:rPr>
          <w:rFonts w:cs="Arial"/>
        </w:rPr>
        <w:t xml:space="preserve"> </w:t>
      </w:r>
      <w:r w:rsidR="653B2BEC" w:rsidRPr="7D6BE9DE">
        <w:rPr>
          <w:rFonts w:cs="Arial"/>
        </w:rPr>
        <w:t>project</w:t>
      </w:r>
      <w:r w:rsidR="7621E2AE" w:rsidRPr="7D6BE9DE">
        <w:rPr>
          <w:rFonts w:cs="Arial"/>
        </w:rPr>
        <w:t>,</w:t>
      </w:r>
      <w:r w:rsidR="653B2BEC" w:rsidRPr="7D6BE9DE">
        <w:rPr>
          <w:rFonts w:cs="Arial"/>
        </w:rPr>
        <w:t xml:space="preserve"> </w:t>
      </w:r>
      <w:r w:rsidRPr="7D6BE9DE">
        <w:rPr>
          <w:rFonts w:cs="Arial"/>
        </w:rPr>
        <w:t xml:space="preserve">or (b) taken any actions which, in the reasonable opinion of THET, bring or are likely to bring THET's or </w:t>
      </w:r>
      <w:r w:rsidR="117E5794" w:rsidRPr="7D6BE9DE">
        <w:rPr>
          <w:rFonts w:cs="Arial"/>
        </w:rPr>
        <w:t>DHSC</w:t>
      </w:r>
      <w:r w:rsidRPr="7D6BE9DE">
        <w:rPr>
          <w:rFonts w:cs="Arial"/>
        </w:rPr>
        <w:t xml:space="preserve">’s name or reputation or that of the </w:t>
      </w:r>
      <w:r w:rsidR="4C574C7F" w:rsidRPr="7D6BE9DE">
        <w:rPr>
          <w:rFonts w:cs="Arial"/>
        </w:rPr>
        <w:t>GHWP</w:t>
      </w:r>
      <w:r w:rsidR="30D371C5" w:rsidRPr="7D6BE9DE">
        <w:rPr>
          <w:rFonts w:cs="Arial"/>
        </w:rPr>
        <w:t xml:space="preserve"> to </w:t>
      </w:r>
      <w:r w:rsidRPr="7D6BE9DE">
        <w:rPr>
          <w:rFonts w:cs="Arial"/>
        </w:rPr>
        <w:t>disrepute;</w:t>
      </w:r>
    </w:p>
    <w:p w14:paraId="3DABC869" w14:textId="53965D7E" w:rsidR="00EE56A7" w:rsidRDefault="00EE56A7">
      <w:pPr>
        <w:pStyle w:val="MRheading3"/>
        <w:spacing w:line="240" w:lineRule="auto"/>
        <w:rPr>
          <w:rFonts w:cs="Arial"/>
          <w:szCs w:val="22"/>
        </w:rPr>
      </w:pPr>
      <w:r w:rsidRPr="00AD5A65">
        <w:rPr>
          <w:rFonts w:cs="Arial"/>
          <w:szCs w:val="22"/>
        </w:rPr>
        <w:t xml:space="preserve">the </w:t>
      </w:r>
      <w:r w:rsidR="00632356">
        <w:rPr>
          <w:rFonts w:cs="Arial"/>
          <w:szCs w:val="22"/>
        </w:rPr>
        <w:t>Lead Partner</w:t>
      </w:r>
      <w:r w:rsidRPr="00AD5A65">
        <w:rPr>
          <w:rFonts w:cs="Arial"/>
          <w:szCs w:val="22"/>
        </w:rPr>
        <w:t xml:space="preserve"> ceases to operate for any reason, or it passes a resolution (or any court of competent jurisdiction makes an order) that it be wound up or dissolved (other than for the purpose of a bona fide and solvent reconstruction or amalgamation); </w:t>
      </w:r>
    </w:p>
    <w:p w14:paraId="02343479" w14:textId="7EBD736E" w:rsidR="00EE56A7" w:rsidRDefault="00EE56A7">
      <w:pPr>
        <w:pStyle w:val="MRheading3"/>
        <w:spacing w:line="240" w:lineRule="auto"/>
        <w:rPr>
          <w:rFonts w:cs="Arial"/>
          <w:szCs w:val="22"/>
        </w:rPr>
      </w:pPr>
      <w:r w:rsidRPr="00AD5A65">
        <w:rPr>
          <w:rFonts w:cs="Arial"/>
          <w:szCs w:val="22"/>
        </w:rPr>
        <w:t xml:space="preserve">the </w:t>
      </w:r>
      <w:r w:rsidR="00632356">
        <w:rPr>
          <w:rFonts w:cs="Arial"/>
          <w:szCs w:val="22"/>
        </w:rPr>
        <w:t>Lead Partner</w:t>
      </w:r>
      <w:r w:rsidRPr="00AD5A65">
        <w:rPr>
          <w:rFonts w:cs="Arial"/>
          <w:szCs w:val="22"/>
        </w:rPr>
        <w:t xml:space="preserve"> becomes insolvent, or it is declared bankrupt, or it is placed into receivers</w:t>
      </w:r>
      <w:r>
        <w:rPr>
          <w:rFonts w:cs="Arial"/>
          <w:szCs w:val="22"/>
        </w:rPr>
        <w:t>hi</w:t>
      </w:r>
      <w:r w:rsidRPr="00AD5A65">
        <w:rPr>
          <w:rFonts w:cs="Arial"/>
          <w:szCs w:val="22"/>
        </w:rPr>
        <w:t xml:space="preserve">p, administration or liquidation, or a petition has </w:t>
      </w:r>
      <w:r>
        <w:rPr>
          <w:rFonts w:cs="Arial"/>
          <w:szCs w:val="22"/>
        </w:rPr>
        <w:t>b</w:t>
      </w:r>
      <w:r w:rsidRPr="00AD5A65">
        <w:rPr>
          <w:rFonts w:cs="Arial"/>
          <w:szCs w:val="22"/>
        </w:rPr>
        <w:t xml:space="preserve">een presented for its winding up, or it enters </w:t>
      </w:r>
      <w:r>
        <w:rPr>
          <w:rFonts w:cs="Arial"/>
          <w:szCs w:val="22"/>
        </w:rPr>
        <w:t>into</w:t>
      </w:r>
      <w:r w:rsidRPr="00AD5A65">
        <w:rPr>
          <w:rFonts w:cs="Arial"/>
          <w:szCs w:val="22"/>
        </w:rPr>
        <w:t xml:space="preserve"> any arrangement or composition for the benefit of its creditors, or it is unable to pay its debts as they fall due; </w:t>
      </w:r>
    </w:p>
    <w:p w14:paraId="5FF25C97" w14:textId="483D0863" w:rsidR="0006321A" w:rsidRPr="00FA6233" w:rsidRDefault="00EE56A7">
      <w:pPr>
        <w:pStyle w:val="MRheading3"/>
        <w:spacing w:line="240" w:lineRule="auto"/>
        <w:rPr>
          <w:rFonts w:cs="Arial"/>
          <w:szCs w:val="22"/>
        </w:rPr>
      </w:pPr>
      <w:r w:rsidRPr="00AD5A65">
        <w:t xml:space="preserve">the </w:t>
      </w:r>
      <w:r w:rsidR="00632356">
        <w:t>Lead Partner</w:t>
      </w:r>
      <w:r w:rsidRPr="00AD5A65">
        <w:t xml:space="preserve"> </w:t>
      </w:r>
      <w:r>
        <w:t xml:space="preserve">or any Partner commits a material breach of </w:t>
      </w:r>
      <w:r w:rsidRPr="00AD5A65">
        <w:t xml:space="preserve">any of the terms </w:t>
      </w:r>
      <w:r>
        <w:t>of</w:t>
      </w:r>
      <w:r w:rsidRPr="00AD5A65">
        <w:t xml:space="preserve"> this Agreement </w:t>
      </w:r>
      <w:r>
        <w:t>including</w:t>
      </w:r>
      <w:r w:rsidR="00732F2C">
        <w:t xml:space="preserve"> without limitation a breach of</w:t>
      </w:r>
      <w:r>
        <w:t xml:space="preserve"> warranty as set out in paragraph </w:t>
      </w:r>
      <w:r>
        <w:fldChar w:fldCharType="begin"/>
      </w:r>
      <w:r>
        <w:instrText xml:space="preserve"> REF _Ref319395273 \r \h </w:instrText>
      </w:r>
      <w:r w:rsidR="00EC5CC0">
        <w:instrText xml:space="preserve"> \* MERGEFORMAT </w:instrText>
      </w:r>
      <w:r>
        <w:fldChar w:fldCharType="separate"/>
      </w:r>
      <w:r w:rsidR="006B5F2E">
        <w:t>18</w:t>
      </w:r>
      <w:r>
        <w:fldChar w:fldCharType="end"/>
      </w:r>
      <w:r w:rsidR="00B93554">
        <w:t xml:space="preserve"> (Warranties)</w:t>
      </w:r>
      <w:r>
        <w:t xml:space="preserve"> and/or a breach of any of the obligations in paragraphs </w:t>
      </w:r>
      <w:r>
        <w:fldChar w:fldCharType="begin"/>
      </w:r>
      <w:r>
        <w:instrText xml:space="preserve"> REF _Ref395168208 \r \h </w:instrText>
      </w:r>
      <w:r w:rsidR="00EC5CC0">
        <w:instrText xml:space="preserve"> \* MERGEFORMAT </w:instrText>
      </w:r>
      <w:r>
        <w:fldChar w:fldCharType="separate"/>
      </w:r>
      <w:r w:rsidR="006B5F2E">
        <w:t>1.5</w:t>
      </w:r>
      <w:r>
        <w:fldChar w:fldCharType="end"/>
      </w:r>
      <w:r w:rsidR="00E64D41">
        <w:t xml:space="preserve"> (Purpose of Grant)</w:t>
      </w:r>
      <w:r>
        <w:t xml:space="preserve"> and </w:t>
      </w:r>
      <w:r>
        <w:fldChar w:fldCharType="begin"/>
      </w:r>
      <w:r>
        <w:instrText xml:space="preserve"> REF _Ref395168220 \r \h </w:instrText>
      </w:r>
      <w:r w:rsidR="00EC5CC0">
        <w:instrText xml:space="preserve"> \* MERGEFORMAT </w:instrText>
      </w:r>
      <w:r>
        <w:fldChar w:fldCharType="separate"/>
      </w:r>
      <w:r w:rsidR="006B5F2E">
        <w:t>1.6</w:t>
      </w:r>
      <w:r>
        <w:fldChar w:fldCharType="end"/>
      </w:r>
      <w:r w:rsidR="00E64D41">
        <w:t xml:space="preserve"> (Purpose of Grant)</w:t>
      </w:r>
      <w:r>
        <w:t xml:space="preserve"> above which (if capable of remedy) it fails to remedy</w:t>
      </w:r>
      <w:r w:rsidRPr="00AD5A65">
        <w:t xml:space="preserve"> within </w:t>
      </w:r>
      <w:r>
        <w:t>thirty (</w:t>
      </w:r>
      <w:r w:rsidRPr="00AD5A65">
        <w:t>30</w:t>
      </w:r>
      <w:r>
        <w:t>)</w:t>
      </w:r>
      <w:r w:rsidRPr="00AD5A65">
        <w:t xml:space="preserve"> days of receiving written notice</w:t>
      </w:r>
      <w:r>
        <w:t xml:space="preserve"> specifying the breach and requiring such breach to be remedied</w:t>
      </w:r>
      <w:bookmarkStart w:id="47" w:name="a444131"/>
      <w:bookmarkEnd w:id="47"/>
      <w:r w:rsidR="00FA6233">
        <w:t xml:space="preserve">; </w:t>
      </w:r>
    </w:p>
    <w:p w14:paraId="33E1541C" w14:textId="3F904759" w:rsidR="00F07D98" w:rsidRPr="00F07D98" w:rsidRDefault="00FA6233">
      <w:pPr>
        <w:pStyle w:val="MRheading3"/>
        <w:spacing w:line="240" w:lineRule="auto"/>
        <w:rPr>
          <w:rFonts w:cs="Arial"/>
          <w:szCs w:val="22"/>
        </w:rPr>
      </w:pPr>
      <w:r>
        <w:t>DHSC</w:t>
      </w:r>
      <w:r w:rsidR="00610E74">
        <w:t xml:space="preserve"> require THET to repay all or </w:t>
      </w:r>
      <w:r w:rsidR="00BB7CC3">
        <w:t xml:space="preserve">any </w:t>
      </w:r>
      <w:r w:rsidR="00610E74">
        <w:t>part of the Grant pursuant to the terms of the Funding Agreement</w:t>
      </w:r>
      <w:r w:rsidR="00F07D98">
        <w:t xml:space="preserve">; </w:t>
      </w:r>
    </w:p>
    <w:p w14:paraId="178C033D" w14:textId="1FE31E1A" w:rsidR="00F07D98" w:rsidRDefault="00F07D98" w:rsidP="00F07D98">
      <w:pPr>
        <w:pStyle w:val="MRheading3"/>
        <w:spacing w:line="240" w:lineRule="auto"/>
        <w:rPr>
          <w:rFonts w:cs="Arial"/>
          <w:szCs w:val="22"/>
        </w:rPr>
      </w:pPr>
      <w:r w:rsidRPr="00F07D98">
        <w:rPr>
          <w:rFonts w:cs="Arial"/>
          <w:szCs w:val="22"/>
        </w:rPr>
        <w:t xml:space="preserve">the </w:t>
      </w:r>
      <w:r>
        <w:rPr>
          <w:rFonts w:cs="Arial"/>
          <w:szCs w:val="22"/>
        </w:rPr>
        <w:t>Lead Partner</w:t>
      </w:r>
      <w:r w:rsidRPr="00F07D98">
        <w:rPr>
          <w:rFonts w:cs="Arial"/>
          <w:szCs w:val="22"/>
        </w:rPr>
        <w:t xml:space="preserve"> transfers, assigns or novates to any third party, or encumbers in</w:t>
      </w:r>
      <w:r>
        <w:rPr>
          <w:rFonts w:cs="Arial"/>
          <w:szCs w:val="22"/>
        </w:rPr>
        <w:t xml:space="preserve"> any way, the Grant without THET's </w:t>
      </w:r>
      <w:r w:rsidRPr="00F07D98">
        <w:rPr>
          <w:rFonts w:cs="Arial"/>
          <w:szCs w:val="22"/>
        </w:rPr>
        <w:t>consent</w:t>
      </w:r>
      <w:r>
        <w:rPr>
          <w:rFonts w:cs="Arial"/>
          <w:szCs w:val="22"/>
        </w:rPr>
        <w:t>; or</w:t>
      </w:r>
    </w:p>
    <w:p w14:paraId="7332AFDB" w14:textId="39989CCB" w:rsidR="00FA6233" w:rsidRPr="00F07D98" w:rsidRDefault="00F07D98" w:rsidP="00F07D98">
      <w:pPr>
        <w:pStyle w:val="MRheading3"/>
        <w:spacing w:line="240" w:lineRule="auto"/>
        <w:rPr>
          <w:rFonts w:cs="Arial"/>
          <w:szCs w:val="22"/>
        </w:rPr>
      </w:pPr>
      <w:r w:rsidRPr="00F07D98">
        <w:rPr>
          <w:rFonts w:cs="Arial"/>
          <w:szCs w:val="22"/>
        </w:rPr>
        <w:t xml:space="preserve"> in the event of actual or suspected sexual exploitation, abuse or harassment.</w:t>
      </w:r>
    </w:p>
    <w:p w14:paraId="18B1BBA0" w14:textId="77777777" w:rsidR="00EE56A7" w:rsidRPr="00173FCC" w:rsidRDefault="00EE56A7">
      <w:pPr>
        <w:pStyle w:val="MRheading1"/>
        <w:spacing w:line="240" w:lineRule="auto"/>
        <w:rPr>
          <w:bCs/>
        </w:rPr>
      </w:pPr>
      <w:r w:rsidRPr="00173FCC">
        <w:rPr>
          <w:bCs/>
        </w:rPr>
        <w:lastRenderedPageBreak/>
        <w:t>Anti-</w:t>
      </w:r>
      <w:r w:rsidRPr="007A32F4">
        <w:t>Discrimination</w:t>
      </w:r>
    </w:p>
    <w:p w14:paraId="75779EC5" w14:textId="06F54148" w:rsidR="00EE56A7" w:rsidRDefault="00EE56A7">
      <w:pPr>
        <w:pStyle w:val="MRheading2"/>
        <w:spacing w:line="240" w:lineRule="auto"/>
        <w:rPr>
          <w:rFonts w:cs="Arial"/>
          <w:szCs w:val="22"/>
        </w:rPr>
      </w:pPr>
      <w:bookmarkStart w:id="48" w:name="_Ref319074508"/>
      <w:r w:rsidRPr="00AD5A65">
        <w:t xml:space="preserve">The </w:t>
      </w:r>
      <w:r w:rsidR="00632356">
        <w:t>Lead Partner</w:t>
      </w:r>
      <w:r w:rsidRPr="00AD5A65">
        <w:t xml:space="preserve"> shall not unlawfully discriminate </w:t>
      </w:r>
      <w:r>
        <w:t>within</w:t>
      </w:r>
      <w:r w:rsidRPr="00AD5A65">
        <w:t xml:space="preserve"> the meaning and scope of any law, enactment, order, or regulation relating to </w:t>
      </w:r>
      <w:r>
        <w:t>discrimination</w:t>
      </w:r>
      <w:r w:rsidRPr="00AD5A65">
        <w:t xml:space="preserve"> (</w:t>
      </w:r>
      <w:r w:rsidRPr="007A32F4">
        <w:rPr>
          <w:rFonts w:cs="Arial"/>
          <w:szCs w:val="22"/>
        </w:rPr>
        <w:t>whether</w:t>
      </w:r>
      <w:r w:rsidRPr="00AD5A65">
        <w:t xml:space="preserve"> in </w:t>
      </w:r>
      <w:r>
        <w:t>race</w:t>
      </w:r>
      <w:r w:rsidRPr="00AD5A65">
        <w:t xml:space="preserve">, </w:t>
      </w:r>
      <w:r w:rsidRPr="00AD5A65">
        <w:rPr>
          <w:rFonts w:cs="Arial"/>
          <w:szCs w:val="22"/>
        </w:rPr>
        <w:t xml:space="preserve">gender, religion, disability, sexual </w:t>
      </w:r>
      <w:r>
        <w:rPr>
          <w:rFonts w:cs="Arial"/>
          <w:szCs w:val="22"/>
        </w:rPr>
        <w:t>orientation</w:t>
      </w:r>
      <w:r w:rsidRPr="00AD5A65">
        <w:rPr>
          <w:rFonts w:cs="Arial"/>
          <w:szCs w:val="22"/>
        </w:rPr>
        <w:t>, age or otherwise) in employment</w:t>
      </w:r>
      <w:r>
        <w:rPr>
          <w:rFonts w:cs="Arial"/>
          <w:szCs w:val="22"/>
        </w:rPr>
        <w:t xml:space="preserve"> and shall provide THET on request with a copy of any </w:t>
      </w:r>
      <w:r w:rsidR="003748F2">
        <w:rPr>
          <w:rFonts w:cs="Arial"/>
          <w:szCs w:val="22"/>
        </w:rPr>
        <w:t>e</w:t>
      </w:r>
      <w:r>
        <w:rPr>
          <w:rFonts w:cs="Arial"/>
          <w:szCs w:val="22"/>
        </w:rPr>
        <w:t xml:space="preserve">qual </w:t>
      </w:r>
      <w:r w:rsidR="003748F2">
        <w:rPr>
          <w:rFonts w:cs="Arial"/>
          <w:szCs w:val="22"/>
        </w:rPr>
        <w:t>o</w:t>
      </w:r>
      <w:r>
        <w:rPr>
          <w:rFonts w:cs="Arial"/>
          <w:szCs w:val="22"/>
        </w:rPr>
        <w:t>pportunities policy or statement it has in place</w:t>
      </w:r>
      <w:r w:rsidRPr="00AD5A65">
        <w:rPr>
          <w:rFonts w:cs="Arial"/>
          <w:szCs w:val="22"/>
        </w:rPr>
        <w:t>.</w:t>
      </w:r>
      <w:bookmarkEnd w:id="48"/>
      <w:r w:rsidRPr="00AD5A65">
        <w:rPr>
          <w:rFonts w:cs="Arial"/>
          <w:szCs w:val="22"/>
        </w:rPr>
        <w:t xml:space="preserve"> </w:t>
      </w:r>
    </w:p>
    <w:p w14:paraId="0912EDDF" w14:textId="50801A91" w:rsidR="00EE56A7" w:rsidRPr="00AD5A65" w:rsidRDefault="01A3A62F"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shall take all reasonable steps to secure the observance of paragraph </w:t>
      </w:r>
      <w:r w:rsidR="00EE56A7" w:rsidRPr="7D6BE9DE">
        <w:rPr>
          <w:rFonts w:cs="Arial"/>
        </w:rPr>
        <w:fldChar w:fldCharType="begin"/>
      </w:r>
      <w:r w:rsidR="00EE56A7" w:rsidRPr="7D6BE9DE">
        <w:rPr>
          <w:rFonts w:cs="Arial"/>
        </w:rPr>
        <w:instrText xml:space="preserve"> REF _Ref319074508 \r \h </w:instrText>
      </w:r>
      <w:r w:rsidR="00EC5CC0" w:rsidRPr="7D6BE9DE">
        <w:rPr>
          <w:rFonts w:cs="Arial"/>
        </w:rPr>
        <w:instrText xml:space="preserve"> \* MERGEFORMAT </w:instrText>
      </w:r>
      <w:r w:rsidR="00EE56A7" w:rsidRPr="7D6BE9DE">
        <w:rPr>
          <w:rFonts w:cs="Arial"/>
        </w:rPr>
      </w:r>
      <w:r w:rsidR="00EE56A7" w:rsidRPr="7D6BE9DE">
        <w:rPr>
          <w:rFonts w:cs="Arial"/>
        </w:rPr>
        <w:fldChar w:fldCharType="separate"/>
      </w:r>
      <w:r w:rsidR="006B5F2E">
        <w:rPr>
          <w:rFonts w:cs="Arial"/>
        </w:rPr>
        <w:t>15.1</w:t>
      </w:r>
      <w:r w:rsidR="00EE56A7" w:rsidRPr="7D6BE9DE">
        <w:rPr>
          <w:rFonts w:cs="Arial"/>
        </w:rPr>
        <w:fldChar w:fldCharType="end"/>
      </w:r>
      <w:r w:rsidR="06EFBD06" w:rsidRPr="7D6BE9DE">
        <w:rPr>
          <w:rFonts w:cs="Arial"/>
        </w:rPr>
        <w:t xml:space="preserve"> </w:t>
      </w:r>
      <w:r w:rsidRPr="7D6BE9DE">
        <w:rPr>
          <w:rFonts w:cs="Arial"/>
        </w:rPr>
        <w:t xml:space="preserve">by all Partners, servants, </w:t>
      </w:r>
      <w:r w:rsidR="7621E2AE" w:rsidRPr="7D6BE9DE">
        <w:rPr>
          <w:rFonts w:cs="Arial"/>
        </w:rPr>
        <w:t xml:space="preserve">contractors, </w:t>
      </w:r>
      <w:r w:rsidRPr="7D6BE9DE">
        <w:rPr>
          <w:rFonts w:cs="Arial"/>
        </w:rPr>
        <w:t xml:space="preserve">employees or agents of the </w:t>
      </w:r>
      <w:r w:rsidR="7D62A095" w:rsidRPr="7D6BE9DE">
        <w:rPr>
          <w:rFonts w:cs="Arial"/>
        </w:rPr>
        <w:t>Lead Partner</w:t>
      </w:r>
      <w:r w:rsidRPr="7D6BE9DE">
        <w:rPr>
          <w:rFonts w:cs="Arial"/>
        </w:rPr>
        <w:t xml:space="preserve"> and all suppliers and sub-contractors engaged on the </w:t>
      </w:r>
      <w:r w:rsidR="4C574C7F" w:rsidRPr="7D6BE9DE">
        <w:rPr>
          <w:rFonts w:cs="Arial"/>
        </w:rPr>
        <w:t>GHWP</w:t>
      </w:r>
      <w:r w:rsidR="1C6EDF04" w:rsidRPr="7D6BE9DE">
        <w:rPr>
          <w:rFonts w:cs="Arial"/>
        </w:rPr>
        <w:t>.</w:t>
      </w:r>
      <w:r w:rsidRPr="7D6BE9DE">
        <w:rPr>
          <w:rFonts w:cs="Arial"/>
        </w:rPr>
        <w:t>.</w:t>
      </w:r>
    </w:p>
    <w:p w14:paraId="363C32B1" w14:textId="31ED614D" w:rsidR="00EE56A7" w:rsidRPr="007A32F4" w:rsidRDefault="00EE56A7">
      <w:pPr>
        <w:pStyle w:val="MRheading1"/>
        <w:spacing w:line="240" w:lineRule="auto"/>
        <w:rPr>
          <w:rFonts w:cs="Arial"/>
          <w:bCs/>
          <w:szCs w:val="22"/>
        </w:rPr>
      </w:pPr>
      <w:r w:rsidRPr="007A32F4">
        <w:rPr>
          <w:rFonts w:cs="Arial"/>
          <w:bCs/>
          <w:szCs w:val="22"/>
        </w:rPr>
        <w:t xml:space="preserve">Human </w:t>
      </w:r>
      <w:r w:rsidRPr="007A32F4">
        <w:rPr>
          <w:bCs/>
        </w:rPr>
        <w:t>Rights</w:t>
      </w:r>
      <w:r w:rsidR="00A321A1">
        <w:rPr>
          <w:bCs/>
        </w:rPr>
        <w:t xml:space="preserve"> and Financial Impropriety </w:t>
      </w:r>
    </w:p>
    <w:p w14:paraId="3E71905C" w14:textId="46749573" w:rsidR="00EE56A7" w:rsidRDefault="00EE56A7">
      <w:pPr>
        <w:pStyle w:val="MRheading2"/>
        <w:spacing w:line="240" w:lineRule="auto"/>
        <w:rPr>
          <w:rFonts w:cs="Arial"/>
          <w:szCs w:val="22"/>
        </w:rPr>
      </w:pPr>
      <w:r w:rsidRPr="00AD5A65">
        <w:t xml:space="preserve">The </w:t>
      </w:r>
      <w:r w:rsidR="00632356">
        <w:t>Lead Partner</w:t>
      </w:r>
      <w:r w:rsidRPr="00AD5A65">
        <w:t xml:space="preserve"> shall (and shall use its reasonable endeavours to procure </w:t>
      </w:r>
      <w:r w:rsidRPr="007A32F4">
        <w:rPr>
          <w:rFonts w:cs="Arial"/>
          <w:szCs w:val="22"/>
        </w:rPr>
        <w:t>that</w:t>
      </w:r>
      <w:r w:rsidRPr="00AD5A65">
        <w:t xml:space="preserve"> its staff </w:t>
      </w:r>
      <w:r>
        <w:t xml:space="preserve">and Partners </w:t>
      </w:r>
      <w:r w:rsidRPr="00AD5A65">
        <w:t xml:space="preserve">shall) at all times comply with the provisions of the </w:t>
      </w:r>
      <w:r>
        <w:t>HRA</w:t>
      </w:r>
      <w:r w:rsidR="003748F2">
        <w:t xml:space="preserve"> applicable to it</w:t>
      </w:r>
      <w:r w:rsidRPr="00AD5A65">
        <w:t xml:space="preserve"> in the </w:t>
      </w:r>
      <w:r>
        <w:t>performance</w:t>
      </w:r>
      <w:r w:rsidRPr="00AD5A65">
        <w:t xml:space="preserve"> of this Agreement</w:t>
      </w:r>
      <w:r w:rsidR="00C13334">
        <w:t>.</w:t>
      </w:r>
    </w:p>
    <w:p w14:paraId="25BBEE05" w14:textId="1FB52E24" w:rsidR="00EE56A7" w:rsidRPr="004E41E1" w:rsidRDefault="00EE56A7">
      <w:pPr>
        <w:pStyle w:val="MRheading2"/>
        <w:spacing w:line="240" w:lineRule="auto"/>
        <w:rPr>
          <w:rFonts w:cs="Arial"/>
          <w:szCs w:val="22"/>
        </w:rPr>
      </w:pPr>
      <w:r>
        <w:t xml:space="preserve">The </w:t>
      </w:r>
      <w:r w:rsidR="00632356">
        <w:t>Lead Partner</w:t>
      </w:r>
      <w:r>
        <w:t xml:space="preserve"> shall</w:t>
      </w:r>
      <w:r w:rsidRPr="00AD5A65">
        <w:t xml:space="preserve"> undertake, or refrain from undertaking, such acts as THET requests so as to enable THET to comply with its obligations under the </w:t>
      </w:r>
      <w:r>
        <w:t>HRA.</w:t>
      </w:r>
    </w:p>
    <w:p w14:paraId="62091C24" w14:textId="76396F77" w:rsidR="00A321A1" w:rsidRPr="00CC1746" w:rsidRDefault="00A321A1">
      <w:pPr>
        <w:pStyle w:val="MRheading2"/>
        <w:spacing w:line="240" w:lineRule="auto"/>
      </w:pPr>
      <w:r w:rsidRPr="00CC1746">
        <w:t xml:space="preserve">The </w:t>
      </w:r>
      <w:r w:rsidR="00632356">
        <w:t>Lead Partner</w:t>
      </w:r>
      <w:r w:rsidRPr="00CC1746">
        <w:t xml:space="preserve"> must inform </w:t>
      </w:r>
      <w:r>
        <w:t>THET</w:t>
      </w:r>
      <w:r w:rsidRPr="00CC1746">
        <w:t xml:space="preserve"> immediately if there are any grounds for suspecting</w:t>
      </w:r>
      <w:r w:rsidR="00A74399">
        <w:t xml:space="preserve"> Aid Diversion and/or</w:t>
      </w:r>
      <w:r w:rsidRPr="00CC1746">
        <w:t xml:space="preserve"> financial irregularity in the use of the Grant, explain what steps are being taken to investigate the</w:t>
      </w:r>
      <w:r w:rsidR="003B28F4">
        <w:t xml:space="preserve"> Aid Diversion or financial</w:t>
      </w:r>
      <w:r w:rsidRPr="00CC1746">
        <w:t xml:space="preserve"> irregularity</w:t>
      </w:r>
      <w:r w:rsidR="003B28F4">
        <w:t xml:space="preserve"> (as applicable)</w:t>
      </w:r>
      <w:r w:rsidRPr="00CC1746">
        <w:t xml:space="preserve"> and keep </w:t>
      </w:r>
      <w:r>
        <w:t xml:space="preserve">THET </w:t>
      </w:r>
      <w:r w:rsidRPr="00CC1746">
        <w:t>informed about the progress of the investigation. For these purposes “financial irregularity” includes (but is not limited to) potential fraud or other impropriety, mismanagement</w:t>
      </w:r>
      <w:r w:rsidR="002F37BE">
        <w:t xml:space="preserve">, </w:t>
      </w:r>
      <w:r w:rsidRPr="00CC1746">
        <w:t>and the use of grant for any purpose other than those stipulated in this Agreement.</w:t>
      </w:r>
    </w:p>
    <w:p w14:paraId="12898465" w14:textId="1D44CF30" w:rsidR="00A321A1" w:rsidRPr="00CC1746" w:rsidRDefault="00A321A1">
      <w:pPr>
        <w:pStyle w:val="MRheading2"/>
        <w:spacing w:line="240" w:lineRule="auto"/>
      </w:pPr>
      <w:r>
        <w:t xml:space="preserve">The </w:t>
      </w:r>
      <w:r w:rsidR="00632356">
        <w:t>Lead Partner</w:t>
      </w:r>
      <w:r w:rsidRPr="00CC1746">
        <w:t xml:space="preserve"> will immediately and without undue delay inform </w:t>
      </w:r>
      <w:r>
        <w:t xml:space="preserve">THET </w:t>
      </w:r>
      <w:r w:rsidRPr="00CC1746">
        <w:t>of any event which interferes or threatens to materially interfere with the successful implementation of the projects, programmes and activities, including credible suspicion of or actual fraud, corruption, money-laundering or any other financial irregularity or impropriety (“</w:t>
      </w:r>
      <w:r w:rsidRPr="00CC1746">
        <w:rPr>
          <w:b/>
        </w:rPr>
        <w:t>Financial Impropriety</w:t>
      </w:r>
      <w:r w:rsidRPr="00CC1746">
        <w:t>”).</w:t>
      </w:r>
    </w:p>
    <w:p w14:paraId="40A8DF13" w14:textId="134233F0" w:rsidR="00A321A1" w:rsidRPr="00CC1746" w:rsidRDefault="00A321A1">
      <w:pPr>
        <w:pStyle w:val="MRheading2"/>
        <w:spacing w:line="240" w:lineRule="auto"/>
      </w:pPr>
      <w:r w:rsidRPr="00CC1746">
        <w:t xml:space="preserve">In the event of any credible indications that UK funds may have been subject to fraud or financial impropriety, the </w:t>
      </w:r>
      <w:r w:rsidR="005E545B">
        <w:t>P</w:t>
      </w:r>
      <w:r w:rsidRPr="00CC1746">
        <w:t>arties</w:t>
      </w:r>
      <w:r w:rsidR="005E545B">
        <w:t xml:space="preserve"> and DHSC</w:t>
      </w:r>
      <w:r w:rsidRPr="00CC1746">
        <w:t xml:space="preserve">, may, at any time during the period of this arrangement and up to five years after the end of the programme, arrange for additional investigations, on-the spot checks and/or inspections to be carried out. These may be carried out by the </w:t>
      </w:r>
      <w:r w:rsidR="005E545B">
        <w:t>P</w:t>
      </w:r>
      <w:r w:rsidR="005E545B" w:rsidRPr="00CC1746">
        <w:t>arties</w:t>
      </w:r>
      <w:r w:rsidR="005E545B">
        <w:t xml:space="preserve"> or DHSC</w:t>
      </w:r>
      <w:r w:rsidRPr="00CC1746">
        <w:t xml:space="preserve">, or any of </w:t>
      </w:r>
      <w:r w:rsidR="005E545B">
        <w:t>their</w:t>
      </w:r>
      <w:r w:rsidR="005E545B" w:rsidRPr="00CC1746">
        <w:t xml:space="preserve"> </w:t>
      </w:r>
      <w:r w:rsidRPr="00CC1746">
        <w:t>duly authorised representatives.</w:t>
      </w:r>
    </w:p>
    <w:p w14:paraId="2982A136" w14:textId="4074BB25" w:rsidR="00A321A1" w:rsidRPr="00CC1746" w:rsidRDefault="00A321A1">
      <w:pPr>
        <w:pStyle w:val="MRheading2"/>
        <w:spacing w:line="240" w:lineRule="auto"/>
      </w:pPr>
      <w:r w:rsidRPr="00CC1746">
        <w:t xml:space="preserve">Where information is requested by the </w:t>
      </w:r>
      <w:r>
        <w:t xml:space="preserve">DHSC or THET </w:t>
      </w:r>
      <w:r w:rsidRPr="00CC1746">
        <w:t xml:space="preserve">as part of an investigation into fraud or </w:t>
      </w:r>
      <w:r w:rsidR="00FF2383">
        <w:t>F</w:t>
      </w:r>
      <w:r w:rsidRPr="00CC1746">
        <w:t xml:space="preserve">inancial </w:t>
      </w:r>
      <w:r w:rsidR="00FF2383">
        <w:t>I</w:t>
      </w:r>
      <w:r w:rsidRPr="00CC1746">
        <w:t>mpropriety</w:t>
      </w:r>
      <w:r>
        <w:t>,</w:t>
      </w:r>
      <w:r w:rsidRPr="00CC1746">
        <w:t xml:space="preserve"> the </w:t>
      </w:r>
      <w:r w:rsidR="00632356">
        <w:t>Lead Partner</w:t>
      </w:r>
      <w:r w:rsidRPr="00CC1746">
        <w:t xml:space="preserve"> cannot request any remuneration or benefits for any labour associated with fulfilling that request unless agreed in writing between the </w:t>
      </w:r>
      <w:r w:rsidR="005E545B">
        <w:t>P</w:t>
      </w:r>
      <w:r w:rsidR="005E545B" w:rsidRPr="00CC1746">
        <w:t>arties</w:t>
      </w:r>
      <w:r w:rsidRPr="00CC1746">
        <w:t>.</w:t>
      </w:r>
    </w:p>
    <w:p w14:paraId="7ABA8EE7" w14:textId="0FEC6550" w:rsidR="00A321A1" w:rsidRPr="004E41E1" w:rsidRDefault="00A321A1">
      <w:pPr>
        <w:pStyle w:val="MRheading2"/>
        <w:spacing w:line="240" w:lineRule="auto"/>
      </w:pPr>
      <w:r w:rsidRPr="00CC1746">
        <w:t xml:space="preserve">The </w:t>
      </w:r>
      <w:r w:rsidR="005777B4">
        <w:t>P</w:t>
      </w:r>
      <w:r w:rsidR="005777B4" w:rsidRPr="00CC1746">
        <w:t xml:space="preserve">arties </w:t>
      </w:r>
      <w:r w:rsidRPr="00CC1746">
        <w:t xml:space="preserve">reserve the ability to recover funds that have been subject to proven fraud and will work together to do so. Where Financial Impropriety is alleged, </w:t>
      </w:r>
      <w:r>
        <w:t xml:space="preserve">THET </w:t>
      </w:r>
      <w:r w:rsidRPr="00CC1746">
        <w:t xml:space="preserve">reserves the ability to suspend or terminate funding with immediate effect, in </w:t>
      </w:r>
      <w:r w:rsidRPr="00CC1746">
        <w:lastRenderedPageBreak/>
        <w:t>preference to the standard notice period and irrespective of any contractual requirements, and to seek civil or criminal sanctions where appropriate.</w:t>
      </w:r>
    </w:p>
    <w:p w14:paraId="35A6EC11" w14:textId="77777777" w:rsidR="00EE56A7" w:rsidRPr="007A32F4" w:rsidRDefault="00EE56A7">
      <w:pPr>
        <w:pStyle w:val="MRheading1"/>
        <w:spacing w:line="240" w:lineRule="auto"/>
        <w:rPr>
          <w:rFonts w:cs="Arial"/>
          <w:bCs/>
          <w:szCs w:val="22"/>
        </w:rPr>
      </w:pPr>
      <w:bookmarkStart w:id="49" w:name="_Ref393364769"/>
      <w:r>
        <w:rPr>
          <w:rFonts w:cs="Arial"/>
          <w:bCs/>
          <w:szCs w:val="22"/>
        </w:rPr>
        <w:t>Limitation o</w:t>
      </w:r>
      <w:r w:rsidRPr="007A32F4">
        <w:rPr>
          <w:rFonts w:cs="Arial"/>
          <w:bCs/>
          <w:szCs w:val="22"/>
        </w:rPr>
        <w:t>f Liability</w:t>
      </w:r>
      <w:bookmarkEnd w:id="49"/>
      <w:r w:rsidRPr="007A32F4">
        <w:rPr>
          <w:rFonts w:cs="Arial"/>
          <w:bCs/>
          <w:szCs w:val="22"/>
        </w:rPr>
        <w:t xml:space="preserve"> </w:t>
      </w:r>
    </w:p>
    <w:p w14:paraId="5D3A2823" w14:textId="1CBBDF58" w:rsidR="006401E7" w:rsidRPr="004E41E1" w:rsidRDefault="006401E7" w:rsidP="0095685B">
      <w:pPr>
        <w:pStyle w:val="MRheading2"/>
        <w:spacing w:line="240" w:lineRule="auto"/>
        <w:rPr>
          <w:rFonts w:cs="Arial"/>
          <w:szCs w:val="22"/>
        </w:rPr>
      </w:pPr>
      <w:bookmarkStart w:id="50" w:name="_Ref125108789"/>
      <w:bookmarkStart w:id="51" w:name="_Ref318986328"/>
      <w:r>
        <w:t>Subject to paragraph</w:t>
      </w:r>
      <w:r w:rsidR="00016610">
        <w:t xml:space="preserve"> 17.4</w:t>
      </w:r>
      <w:r w:rsidR="00707618">
        <w:t xml:space="preserve"> </w:t>
      </w:r>
      <w:r w:rsidR="00EE56A7">
        <w:t>T</w:t>
      </w:r>
      <w:r w:rsidR="00EE56A7" w:rsidRPr="00AD5A65">
        <w:t xml:space="preserve">HET accepts no liability for any </w:t>
      </w:r>
      <w:r w:rsidR="00F74C52">
        <w:t xml:space="preserve">Losses </w:t>
      </w:r>
      <w:r w:rsidR="00EE56A7" w:rsidRPr="00AD5A65">
        <w:t xml:space="preserve">that may </w:t>
      </w:r>
      <w:r w:rsidR="00EE56A7">
        <w:t>arise</w:t>
      </w:r>
      <w:r>
        <w:t>,</w:t>
      </w:r>
      <w:r w:rsidRPr="00AD5A65">
        <w:t xml:space="preserve"> whether direct</w:t>
      </w:r>
      <w:r>
        <w:t>ly</w:t>
      </w:r>
      <w:r w:rsidRPr="00AD5A65">
        <w:t xml:space="preserve"> or indirect</w:t>
      </w:r>
      <w:r>
        <w:t>ly</w:t>
      </w:r>
      <w:r w:rsidRPr="00AD5A65">
        <w:t>,</w:t>
      </w:r>
      <w:r w:rsidR="00EE56A7">
        <w:t xml:space="preserve"> from or in connection with</w:t>
      </w:r>
      <w:r>
        <w:t>:</w:t>
      </w:r>
      <w:bookmarkEnd w:id="50"/>
    </w:p>
    <w:p w14:paraId="3CA8ACD5" w14:textId="7DFA3A86" w:rsidR="006401E7" w:rsidRPr="004E41E1" w:rsidRDefault="01A3A62F" w:rsidP="7D6BE9DE">
      <w:pPr>
        <w:pStyle w:val="MRheading3"/>
        <w:spacing w:line="240" w:lineRule="auto"/>
        <w:rPr>
          <w:rFonts w:cs="Arial"/>
        </w:rPr>
      </w:pPr>
      <w:r>
        <w:t xml:space="preserve">the </w:t>
      </w:r>
      <w:r w:rsidR="7D62A095">
        <w:t>Lead Partner</w:t>
      </w:r>
      <w:r>
        <w:t>, its staff, agents</w:t>
      </w:r>
      <w:r w:rsidR="7621E2AE">
        <w:t>, contractors,</w:t>
      </w:r>
      <w:r>
        <w:t xml:space="preserve"> or any Partner</w:t>
      </w:r>
      <w:r w:rsidR="7621E2AE">
        <w:t>(s)</w:t>
      </w:r>
      <w:r>
        <w:t xml:space="preserve"> engaging in the </w:t>
      </w:r>
      <w:r w:rsidR="4C574C7F">
        <w:t>GHWP</w:t>
      </w:r>
      <w:r w:rsidR="653B2BEC">
        <w:t xml:space="preserve"> project</w:t>
      </w:r>
      <w:r w:rsidR="7621E2AE">
        <w:t>;</w:t>
      </w:r>
    </w:p>
    <w:p w14:paraId="074BBC00" w14:textId="5198ECD1" w:rsidR="006401E7" w:rsidRPr="004E41E1" w:rsidRDefault="00EE56A7">
      <w:pPr>
        <w:pStyle w:val="MRheading3"/>
        <w:spacing w:line="240" w:lineRule="auto"/>
        <w:rPr>
          <w:rFonts w:cs="Arial"/>
          <w:szCs w:val="22"/>
        </w:rPr>
      </w:pPr>
      <w:r w:rsidRPr="00AD5A65">
        <w:t>the use of the Grant</w:t>
      </w:r>
      <w:r w:rsidR="006401E7">
        <w:t xml:space="preserve">; or </w:t>
      </w:r>
    </w:p>
    <w:p w14:paraId="70B5C0E3" w14:textId="47F5DF0A" w:rsidR="006401E7" w:rsidRPr="004E41E1" w:rsidRDefault="006401E7">
      <w:pPr>
        <w:pStyle w:val="MRheading3"/>
        <w:spacing w:line="240" w:lineRule="auto"/>
        <w:rPr>
          <w:rFonts w:cs="Arial"/>
          <w:szCs w:val="22"/>
        </w:rPr>
      </w:pPr>
      <w:r>
        <w:t xml:space="preserve">the </w:t>
      </w:r>
      <w:r w:rsidR="00EE56A7" w:rsidRPr="00AD5A65">
        <w:t xml:space="preserve">withdrawal </w:t>
      </w:r>
      <w:r>
        <w:t xml:space="preserve">of </w:t>
      </w:r>
      <w:r w:rsidR="00EE56A7" w:rsidRPr="00AD5A65">
        <w:t>the Grant</w:t>
      </w:r>
      <w:r>
        <w:t>,</w:t>
      </w:r>
    </w:p>
    <w:p w14:paraId="559753E8" w14:textId="5D520D78" w:rsidR="00DF02D4" w:rsidRDefault="006401E7">
      <w:pPr>
        <w:pStyle w:val="MRheading3"/>
        <w:numPr>
          <w:ilvl w:val="0"/>
          <w:numId w:val="0"/>
        </w:numPr>
        <w:spacing w:line="240" w:lineRule="auto"/>
        <w:ind w:left="720"/>
      </w:pPr>
      <w:r>
        <w:t xml:space="preserve">or which </w:t>
      </w:r>
      <w:r w:rsidR="00EE56A7">
        <w:t xml:space="preserve">otherwise </w:t>
      </w:r>
      <w:r>
        <w:t xml:space="preserve">arise </w:t>
      </w:r>
      <w:r w:rsidR="00EE56A7">
        <w:t>from or in connection with this Agreement</w:t>
      </w:r>
      <w:r w:rsidR="00D45A6A">
        <w:t>.</w:t>
      </w:r>
    </w:p>
    <w:p w14:paraId="5FBB0F22" w14:textId="0472D988" w:rsidR="00EE56A7" w:rsidRPr="0079781C" w:rsidRDefault="01A3A62F">
      <w:pPr>
        <w:pStyle w:val="MRheading2"/>
        <w:spacing w:line="240" w:lineRule="auto"/>
      </w:pPr>
      <w:r>
        <w:t xml:space="preserve">The </w:t>
      </w:r>
      <w:r w:rsidR="7D62A095">
        <w:t>Lead Partner</w:t>
      </w:r>
      <w:r>
        <w:t xml:space="preserve"> shall indemnify and hold harmless THET</w:t>
      </w:r>
      <w:r w:rsidR="415446A4">
        <w:t xml:space="preserve"> and</w:t>
      </w:r>
      <w:r w:rsidR="2266423C">
        <w:t xml:space="preserve"> DHS</w:t>
      </w:r>
      <w:r w:rsidR="3C3E6E7A">
        <w:t>C and</w:t>
      </w:r>
      <w:r>
        <w:t xml:space="preserve"> </w:t>
      </w:r>
      <w:r w:rsidR="415446A4">
        <w:t>each of their</w:t>
      </w:r>
      <w:r w:rsidR="2266423C">
        <w:t xml:space="preserve"> </w:t>
      </w:r>
      <w:r>
        <w:t xml:space="preserve">employees, agents, </w:t>
      </w:r>
      <w:r w:rsidR="4904AC96">
        <w:t xml:space="preserve">contractors, </w:t>
      </w:r>
      <w:r>
        <w:t xml:space="preserve">officers </w:t>
      </w:r>
      <w:r w:rsidR="4904AC96">
        <w:t xml:space="preserve">and/or </w:t>
      </w:r>
      <w:r>
        <w:t>sub-contractors</w:t>
      </w:r>
      <w:r w:rsidR="4904AC96">
        <w:t xml:space="preserve"> (together, the “</w:t>
      </w:r>
      <w:r w:rsidR="4904AC96" w:rsidRPr="7D6BE9DE">
        <w:rPr>
          <w:b/>
          <w:bCs/>
        </w:rPr>
        <w:t>Indemnified Parties</w:t>
      </w:r>
      <w:r w:rsidR="4904AC96">
        <w:t>”)</w:t>
      </w:r>
      <w:r>
        <w:t xml:space="preserve"> </w:t>
      </w:r>
      <w:r w:rsidR="4904AC96">
        <w:t xml:space="preserve">against </w:t>
      </w:r>
      <w:r>
        <w:t xml:space="preserve">all </w:t>
      </w:r>
      <w:r w:rsidR="5258A3BF">
        <w:t>L</w:t>
      </w:r>
      <w:r>
        <w:t>osses arising</w:t>
      </w:r>
      <w:r w:rsidR="4904AC96">
        <w:t xml:space="preserve"> </w:t>
      </w:r>
      <w:r>
        <w:t xml:space="preserve">from or incurred </w:t>
      </w:r>
      <w:r w:rsidR="4904AC96">
        <w:t>(whether directly or indirectly) as result of</w:t>
      </w:r>
      <w:r>
        <w:t xml:space="preserve"> </w:t>
      </w:r>
      <w:r w:rsidR="4904AC96">
        <w:t xml:space="preserve">(i) any </w:t>
      </w:r>
      <w:r>
        <w:t>action</w:t>
      </w:r>
      <w:r w:rsidR="4904AC96">
        <w:t xml:space="preserve">(s) </w:t>
      </w:r>
      <w:r>
        <w:t>and/or omission</w:t>
      </w:r>
      <w:r w:rsidR="4904AC96">
        <w:t>(s)</w:t>
      </w:r>
      <w:r>
        <w:t xml:space="preserve"> of the </w:t>
      </w:r>
      <w:r w:rsidR="7D62A095">
        <w:t>Lead Partner</w:t>
      </w:r>
      <w:r>
        <w:t xml:space="preserve"> </w:t>
      </w:r>
      <w:r w:rsidR="4904AC96">
        <w:t>and/</w:t>
      </w:r>
      <w:r>
        <w:t xml:space="preserve">or any Partner in relation to the </w:t>
      </w:r>
      <w:r w:rsidR="4C574C7F">
        <w:t>GHWP</w:t>
      </w:r>
      <w:r>
        <w:t xml:space="preserve">, </w:t>
      </w:r>
      <w:r w:rsidR="4904AC96">
        <w:t xml:space="preserve">(ii) </w:t>
      </w:r>
      <w:r>
        <w:t xml:space="preserve">the non-fulfilment of obligations of the </w:t>
      </w:r>
      <w:r w:rsidR="7D62A095">
        <w:t>Lead Partner</w:t>
      </w:r>
      <w:r>
        <w:t xml:space="preserve"> </w:t>
      </w:r>
      <w:r w:rsidR="4904AC96">
        <w:t>and/</w:t>
      </w:r>
      <w:r>
        <w:t>or any Partner under this Agreement</w:t>
      </w:r>
      <w:r w:rsidR="4904AC96">
        <w:t>,</w:t>
      </w:r>
      <w:r>
        <w:t xml:space="preserve"> or </w:t>
      </w:r>
      <w:r w:rsidR="4904AC96">
        <w:t xml:space="preserve">(iii) </w:t>
      </w:r>
      <w:r>
        <w:t xml:space="preserve">the </w:t>
      </w:r>
      <w:r w:rsidR="7D62A095">
        <w:t>Lead Partner</w:t>
      </w:r>
      <w:r>
        <w:t>’s or any Partner’s obligations to third parties.</w:t>
      </w:r>
      <w:bookmarkEnd w:id="51"/>
      <w:r>
        <w:t xml:space="preserve"> </w:t>
      </w:r>
    </w:p>
    <w:p w14:paraId="27E45CA2" w14:textId="6FE70375" w:rsidR="00A00081" w:rsidRPr="00730E8E" w:rsidRDefault="00EE56A7" w:rsidP="0095685B">
      <w:pPr>
        <w:pStyle w:val="MRheading2"/>
        <w:spacing w:line="240" w:lineRule="auto"/>
        <w:rPr>
          <w:rFonts w:cs="Arial"/>
          <w:szCs w:val="22"/>
        </w:rPr>
      </w:pPr>
      <w:r w:rsidRPr="00AD5A65">
        <w:t>Sub</w:t>
      </w:r>
      <w:r>
        <w:t>j</w:t>
      </w:r>
      <w:r w:rsidRPr="00AD5A65">
        <w:t xml:space="preserve">ect to </w:t>
      </w:r>
      <w:r>
        <w:t>paragraph</w:t>
      </w:r>
      <w:r w:rsidR="006401E7">
        <w:t>s</w:t>
      </w:r>
      <w:r w:rsidRPr="00AD5A65">
        <w:t xml:space="preserve"> </w:t>
      </w:r>
      <w:r>
        <w:fldChar w:fldCharType="begin"/>
      </w:r>
      <w:r>
        <w:instrText xml:space="preserve"> REF _Ref318986328 \r \h </w:instrText>
      </w:r>
      <w:r w:rsidR="00EC5CC0">
        <w:instrText xml:space="preserve"> \* MERGEFORMAT </w:instrText>
      </w:r>
      <w:r>
        <w:fldChar w:fldCharType="separate"/>
      </w:r>
      <w:r w:rsidR="006B5F2E">
        <w:t>17.1</w:t>
      </w:r>
      <w:r>
        <w:fldChar w:fldCharType="end"/>
      </w:r>
      <w:r w:rsidR="006401E7">
        <w:t xml:space="preserve"> and </w:t>
      </w:r>
      <w:r w:rsidR="006401E7">
        <w:fldChar w:fldCharType="begin"/>
      </w:r>
      <w:r w:rsidR="006401E7">
        <w:instrText xml:space="preserve"> REF _Ref158206133 \r \h </w:instrText>
      </w:r>
      <w:r w:rsidR="00EC5CC0">
        <w:instrText xml:space="preserve"> \* MERGEFORMAT </w:instrText>
      </w:r>
      <w:r w:rsidR="006401E7">
        <w:fldChar w:fldCharType="separate"/>
      </w:r>
      <w:r w:rsidR="006B5F2E">
        <w:t>17.4</w:t>
      </w:r>
      <w:r w:rsidR="006401E7">
        <w:fldChar w:fldCharType="end"/>
      </w:r>
      <w:r w:rsidR="00707618">
        <w:t xml:space="preserve"> (Limitation of Liability)</w:t>
      </w:r>
      <w:r w:rsidR="00A00081">
        <w:t>:</w:t>
      </w:r>
    </w:p>
    <w:p w14:paraId="264065B8" w14:textId="23CFC103" w:rsidR="00EE56A7" w:rsidRPr="00F07D98" w:rsidRDefault="00A00081" w:rsidP="00C97EC3">
      <w:pPr>
        <w:pStyle w:val="MRheading3"/>
        <w:spacing w:line="240" w:lineRule="auto"/>
      </w:pPr>
      <w:r>
        <w:t>THET’s</w:t>
      </w:r>
      <w:r w:rsidR="00B13230" w:rsidRPr="00AD5A65">
        <w:t xml:space="preserve"> </w:t>
      </w:r>
      <w:r w:rsidR="00EE56A7" w:rsidRPr="00AD5A65">
        <w:t>liability under this Agreement is limited</w:t>
      </w:r>
      <w:r w:rsidR="00B13230">
        <w:t xml:space="preserve"> </w:t>
      </w:r>
      <w:r w:rsidR="00A14558">
        <w:t>in aggregate</w:t>
      </w:r>
      <w:r w:rsidR="00A14558" w:rsidRPr="00AD5A65">
        <w:t xml:space="preserve"> t</w:t>
      </w:r>
      <w:r w:rsidR="00A14558" w:rsidRPr="00DF743F">
        <w:t xml:space="preserve">o </w:t>
      </w:r>
      <w:r w:rsidR="003227A9" w:rsidRPr="00DF743F">
        <w:t>an amount equal to the</w:t>
      </w:r>
      <w:r w:rsidR="00EE56A7" w:rsidRPr="00DF743F">
        <w:t xml:space="preserve"> Grant</w:t>
      </w:r>
      <w:r w:rsidR="009C4144" w:rsidRPr="00DF743F">
        <w:t>;</w:t>
      </w:r>
      <w:r w:rsidR="009C4144">
        <w:t xml:space="preserve"> a</w:t>
      </w:r>
      <w:r w:rsidR="00897392">
        <w:t>n</w:t>
      </w:r>
      <w:r w:rsidR="009C4144">
        <w:t>d</w:t>
      </w:r>
    </w:p>
    <w:p w14:paraId="50A1F7B5" w14:textId="3FF2F46F" w:rsidR="00897392" w:rsidRPr="00F07D98" w:rsidRDefault="00897392" w:rsidP="00C97EC3">
      <w:pPr>
        <w:pStyle w:val="MRheading3"/>
        <w:spacing w:line="240" w:lineRule="auto"/>
      </w:pPr>
      <w:r>
        <w:t>the Lead Partner’s liability under this Agreement is limited in aggregate to</w:t>
      </w:r>
      <w:r w:rsidR="003227A9">
        <w:t xml:space="preserve"> </w:t>
      </w:r>
      <w:r w:rsidR="00A14558">
        <w:t>[</w:t>
      </w:r>
      <w:r w:rsidR="00A14558" w:rsidRPr="00C97EC3">
        <w:t xml:space="preserve">£ [●] / </w:t>
      </w:r>
      <w:r w:rsidR="003227A9" w:rsidRPr="00C97EC3">
        <w:t>an amount equal to</w:t>
      </w:r>
      <w:r w:rsidRPr="00C97EC3">
        <w:t xml:space="preserve"> </w:t>
      </w:r>
      <w:r w:rsidR="00B535AA" w:rsidRPr="00C97EC3">
        <w:t>[multiple of Grant]</w:t>
      </w:r>
      <w:r w:rsidRPr="00B535AA">
        <w:t>]</w:t>
      </w:r>
      <w:r w:rsidRPr="00C97EC3">
        <w:footnoteReference w:id="6"/>
      </w:r>
      <w:r w:rsidRPr="00AD5A65">
        <w:t>.</w:t>
      </w:r>
    </w:p>
    <w:p w14:paraId="2F597060" w14:textId="77777777" w:rsidR="006401E7" w:rsidRDefault="006401E7">
      <w:pPr>
        <w:pStyle w:val="MRheading2"/>
        <w:spacing w:line="240" w:lineRule="auto"/>
      </w:pPr>
      <w:bookmarkStart w:id="52" w:name="_Ref158206133"/>
      <w:r>
        <w:t>Nothing in this Agreement shall exclude or limit:</w:t>
      </w:r>
      <w:bookmarkEnd w:id="52"/>
    </w:p>
    <w:p w14:paraId="1538D531" w14:textId="5AFBB2EB" w:rsidR="006401E7" w:rsidRDefault="006401E7">
      <w:pPr>
        <w:pStyle w:val="MRheading3"/>
        <w:spacing w:line="240" w:lineRule="auto"/>
      </w:pPr>
      <w:r>
        <w:t xml:space="preserve">either party's liability for death or personal injury caused by its (or its agent's or </w:t>
      </w:r>
      <w:r w:rsidR="006869E9">
        <w:t>Partner’s</w:t>
      </w:r>
      <w:r>
        <w:t>) negligence, or for fraud or fraudulent misrepresentation;</w:t>
      </w:r>
      <w:r w:rsidR="006869E9">
        <w:t xml:space="preserve"> or</w:t>
      </w:r>
    </w:p>
    <w:p w14:paraId="1C1366BF" w14:textId="4482CB03" w:rsidR="006401E7" w:rsidRPr="00147B48" w:rsidRDefault="006401E7" w:rsidP="00730E8E">
      <w:pPr>
        <w:pStyle w:val="MRheading3"/>
        <w:spacing w:line="240" w:lineRule="auto"/>
        <w:rPr>
          <w:rFonts w:cs="Arial"/>
          <w:szCs w:val="22"/>
        </w:rPr>
      </w:pPr>
      <w:r>
        <w:t>either party's liability that cannot, as a matter of law, be limited or excluded</w:t>
      </w:r>
      <w:r w:rsidR="00E86EC8">
        <w:t>.</w:t>
      </w:r>
    </w:p>
    <w:p w14:paraId="68B30FF9" w14:textId="219DB03C" w:rsidR="00147B48" w:rsidRPr="00730E8E" w:rsidRDefault="00E17CE8" w:rsidP="002A0ABF">
      <w:pPr>
        <w:pStyle w:val="MRheading2"/>
        <w:spacing w:line="240" w:lineRule="auto"/>
      </w:pPr>
      <w:r>
        <w:t xml:space="preserve">Subject to paragraph </w:t>
      </w:r>
      <w:r>
        <w:fldChar w:fldCharType="begin"/>
      </w:r>
      <w:r>
        <w:instrText xml:space="preserve"> REF _Ref158206133 \r \h </w:instrText>
      </w:r>
      <w:r>
        <w:fldChar w:fldCharType="separate"/>
      </w:r>
      <w:r w:rsidR="006B5F2E">
        <w:t>17.4</w:t>
      </w:r>
      <w:r>
        <w:fldChar w:fldCharType="end"/>
      </w:r>
      <w:r>
        <w:t xml:space="preserve">, neither Party shall </w:t>
      </w:r>
      <w:r w:rsidR="00A24019">
        <w:t xml:space="preserve">be liable for any loss of profits, turnover, savings, business opportunities, revenue </w:t>
      </w:r>
      <w:r w:rsidR="00902E19">
        <w:t xml:space="preserve">or damage to goodwill (in each case </w:t>
      </w:r>
      <w:r w:rsidR="0077398F">
        <w:t xml:space="preserve">whether direct or </w:t>
      </w:r>
      <w:r w:rsidR="00F12FC8">
        <w:t>indirect</w:t>
      </w:r>
      <w:r w:rsidR="0077398F">
        <w:t>) or any other indirect, special or consequential loss or damage of any nature howsoever caused</w:t>
      </w:r>
      <w:r w:rsidR="0075696F">
        <w:t xml:space="preserve"> and whether or not reasonably foreseeable or </w:t>
      </w:r>
      <w:r w:rsidR="008C11B5">
        <w:t>such</w:t>
      </w:r>
      <w:r w:rsidR="00AD518D">
        <w:t xml:space="preserve"> possibility notified to the relevant Party.</w:t>
      </w:r>
    </w:p>
    <w:p w14:paraId="0F8AF992" w14:textId="77777777" w:rsidR="00EE56A7" w:rsidRPr="00B23A09" w:rsidRDefault="00EE56A7">
      <w:pPr>
        <w:pStyle w:val="MRheading1"/>
        <w:spacing w:line="240" w:lineRule="auto"/>
        <w:rPr>
          <w:b w:val="0"/>
          <w:bCs/>
        </w:rPr>
      </w:pPr>
      <w:bookmarkStart w:id="53" w:name="_Ref319395273"/>
      <w:r>
        <w:rPr>
          <w:rFonts w:cs="Arial"/>
          <w:bCs/>
          <w:szCs w:val="22"/>
        </w:rPr>
        <w:lastRenderedPageBreak/>
        <w:t>W</w:t>
      </w:r>
      <w:r w:rsidRPr="007A32F4">
        <w:rPr>
          <w:rFonts w:cs="Arial"/>
          <w:bCs/>
          <w:szCs w:val="22"/>
        </w:rPr>
        <w:t>arranties</w:t>
      </w:r>
      <w:bookmarkEnd w:id="53"/>
      <w:r w:rsidRPr="00B23A09">
        <w:rPr>
          <w:b w:val="0"/>
          <w:bCs/>
        </w:rPr>
        <w:t xml:space="preserve"> </w:t>
      </w:r>
    </w:p>
    <w:p w14:paraId="61951294" w14:textId="2C3E5CF0" w:rsidR="00EE56A7" w:rsidRPr="00AD5A65" w:rsidRDefault="00EE56A7">
      <w:pPr>
        <w:pStyle w:val="MRheading2"/>
        <w:spacing w:line="240" w:lineRule="auto"/>
        <w:rPr>
          <w:rFonts w:cs="Arial"/>
          <w:szCs w:val="22"/>
        </w:rPr>
      </w:pPr>
      <w:r w:rsidRPr="00AD5A65">
        <w:rPr>
          <w:rFonts w:cs="Arial"/>
          <w:szCs w:val="22"/>
        </w:rPr>
        <w:t xml:space="preserve">The </w:t>
      </w:r>
      <w:r w:rsidR="00632356">
        <w:rPr>
          <w:rFonts w:cs="Arial"/>
          <w:szCs w:val="22"/>
        </w:rPr>
        <w:t>Lead Partner</w:t>
      </w:r>
      <w:r w:rsidRPr="00AD5A65">
        <w:rPr>
          <w:rFonts w:cs="Arial"/>
          <w:szCs w:val="22"/>
        </w:rPr>
        <w:t xml:space="preserve"> warrants, undertakes and agrees that</w:t>
      </w:r>
      <w:r>
        <w:rPr>
          <w:rFonts w:cs="Arial"/>
          <w:szCs w:val="22"/>
        </w:rPr>
        <w:t xml:space="preserve"> on the Commencement Date</w:t>
      </w:r>
      <w:r w:rsidR="005437EF">
        <w:rPr>
          <w:rFonts w:cs="Arial"/>
          <w:szCs w:val="22"/>
        </w:rPr>
        <w:t xml:space="preserve"> and </w:t>
      </w:r>
      <w:r w:rsidR="003227A9">
        <w:rPr>
          <w:rFonts w:cs="Arial"/>
          <w:szCs w:val="22"/>
        </w:rPr>
        <w:t xml:space="preserve">on each day </w:t>
      </w:r>
      <w:r w:rsidR="005437EF">
        <w:rPr>
          <w:rFonts w:cs="Arial"/>
          <w:szCs w:val="22"/>
        </w:rPr>
        <w:t xml:space="preserve">throughout the </w:t>
      </w:r>
      <w:r w:rsidR="00933476">
        <w:rPr>
          <w:rFonts w:cs="Arial"/>
          <w:szCs w:val="22"/>
        </w:rPr>
        <w:t>duration of the Agreement that:</w:t>
      </w:r>
    </w:p>
    <w:p w14:paraId="05A0428A" w14:textId="6AF57A94" w:rsidR="005437EF" w:rsidRPr="0079781C" w:rsidRDefault="005437EF">
      <w:pPr>
        <w:pStyle w:val="MRheading3"/>
        <w:spacing w:line="240" w:lineRule="auto"/>
        <w:rPr>
          <w:rFonts w:cs="Arial"/>
          <w:szCs w:val="22"/>
        </w:rPr>
      </w:pPr>
      <w:r w:rsidRPr="0079781C">
        <w:rPr>
          <w:rFonts w:cs="Arial"/>
          <w:szCs w:val="22"/>
        </w:rPr>
        <w:t>it has full power and authority to execute, deliver and perform its obligations under this Agreement;</w:t>
      </w:r>
    </w:p>
    <w:p w14:paraId="7025565C" w14:textId="72D045E5" w:rsidR="005437EF" w:rsidRPr="0079781C" w:rsidRDefault="005437EF">
      <w:pPr>
        <w:pStyle w:val="MRheading3"/>
        <w:spacing w:line="240" w:lineRule="auto"/>
        <w:rPr>
          <w:rFonts w:cs="Arial"/>
          <w:szCs w:val="22"/>
        </w:rPr>
      </w:pPr>
      <w:r w:rsidRPr="0079781C">
        <w:rPr>
          <w:rFonts w:cs="Arial"/>
          <w:szCs w:val="22"/>
        </w:rPr>
        <w:t xml:space="preserve">the Agreement is executed by a duly authorised representative of the </w:t>
      </w:r>
      <w:r w:rsidR="00632356">
        <w:rPr>
          <w:rFonts w:cs="Arial"/>
          <w:szCs w:val="22"/>
        </w:rPr>
        <w:t>Lead Partner</w:t>
      </w:r>
      <w:r w:rsidRPr="0079781C">
        <w:rPr>
          <w:rFonts w:cs="Arial"/>
          <w:szCs w:val="22"/>
        </w:rPr>
        <w:t>;</w:t>
      </w:r>
    </w:p>
    <w:p w14:paraId="636F0A65" w14:textId="2D829A7E" w:rsidR="005437EF" w:rsidRPr="0079781C" w:rsidRDefault="005437EF">
      <w:pPr>
        <w:pStyle w:val="MRheading3"/>
        <w:spacing w:line="240" w:lineRule="auto"/>
        <w:rPr>
          <w:rFonts w:cs="Arial"/>
          <w:szCs w:val="22"/>
        </w:rPr>
      </w:pPr>
      <w:r w:rsidRPr="0079781C">
        <w:rPr>
          <w:rFonts w:cs="Arial"/>
          <w:szCs w:val="22"/>
        </w:rPr>
        <w:t xml:space="preserve">there are no currently in force or binding agreements with </w:t>
      </w:r>
      <w:r>
        <w:rPr>
          <w:rFonts w:cs="Arial"/>
          <w:szCs w:val="22"/>
        </w:rPr>
        <w:t>t</w:t>
      </w:r>
      <w:r w:rsidRPr="0079781C">
        <w:rPr>
          <w:rFonts w:cs="Arial"/>
          <w:szCs w:val="22"/>
        </w:rPr>
        <w:t xml:space="preserve">hird </w:t>
      </w:r>
      <w:r>
        <w:rPr>
          <w:rFonts w:cs="Arial"/>
          <w:szCs w:val="22"/>
        </w:rPr>
        <w:t>p</w:t>
      </w:r>
      <w:r w:rsidRPr="0079781C">
        <w:rPr>
          <w:rFonts w:cs="Arial"/>
          <w:szCs w:val="22"/>
        </w:rPr>
        <w:t xml:space="preserve">arties the terms of which would prevent it from entering into the Agreement or would materially impede the performance by it of its obligations under the Agreement; </w:t>
      </w:r>
    </w:p>
    <w:p w14:paraId="35EEB203" w14:textId="726AC827" w:rsidR="005437EF" w:rsidRPr="0079781C" w:rsidRDefault="005437EF">
      <w:pPr>
        <w:pStyle w:val="MRheading3"/>
        <w:spacing w:line="240" w:lineRule="auto"/>
        <w:rPr>
          <w:rFonts w:cs="Arial"/>
          <w:szCs w:val="22"/>
        </w:rPr>
      </w:pPr>
      <w:r>
        <w:rPr>
          <w:rFonts w:cs="Arial"/>
          <w:szCs w:val="22"/>
        </w:rPr>
        <w:t xml:space="preserve">it will perform its obligations under this Agreement using </w:t>
      </w:r>
      <w:r w:rsidRPr="0079781C">
        <w:rPr>
          <w:rFonts w:cs="Arial"/>
          <w:szCs w:val="22"/>
        </w:rPr>
        <w:t>suitable, appropriately qualified, experienced and competent personnel</w:t>
      </w:r>
      <w:r>
        <w:rPr>
          <w:rFonts w:cs="Arial"/>
          <w:szCs w:val="22"/>
        </w:rPr>
        <w:t xml:space="preserve"> and Partners</w:t>
      </w:r>
      <w:r w:rsidRPr="0079781C">
        <w:rPr>
          <w:rFonts w:cs="Arial"/>
          <w:szCs w:val="22"/>
        </w:rPr>
        <w:t>;</w:t>
      </w:r>
    </w:p>
    <w:p w14:paraId="2EF6AEFA" w14:textId="706F6C4C" w:rsidR="00EE56A7" w:rsidRDefault="01A3A62F" w:rsidP="7D6BE9DE">
      <w:pPr>
        <w:pStyle w:val="MRheading3"/>
        <w:spacing w:line="240" w:lineRule="auto"/>
        <w:rPr>
          <w:rFonts w:cs="Arial"/>
        </w:rPr>
      </w:pPr>
      <w:r>
        <w:t>it has all necessary resources</w:t>
      </w:r>
      <w:r w:rsidR="3C9915AE">
        <w:t>, capacity</w:t>
      </w:r>
      <w:r>
        <w:t xml:space="preserve"> and expertise to deliver the </w:t>
      </w:r>
      <w:r w:rsidR="4C574C7F">
        <w:t>GHWP</w:t>
      </w:r>
      <w:r w:rsidR="653B2BEC">
        <w:t xml:space="preserve"> </w:t>
      </w:r>
      <w:r w:rsidRPr="7D6BE9DE">
        <w:rPr>
          <w:rFonts w:cs="Arial"/>
        </w:rPr>
        <w:t xml:space="preserve">(assuming due receipt of the Grant); </w:t>
      </w:r>
    </w:p>
    <w:p w14:paraId="48A38649" w14:textId="77777777" w:rsidR="00EE56A7" w:rsidRPr="007A32F4" w:rsidRDefault="00EE56A7">
      <w:pPr>
        <w:pStyle w:val="MRheading3"/>
        <w:spacing w:line="240" w:lineRule="auto"/>
      </w:pPr>
      <w:r w:rsidRPr="00AD5A65">
        <w:rPr>
          <w:rFonts w:cs="Arial"/>
          <w:szCs w:val="22"/>
        </w:rPr>
        <w:t xml:space="preserve">it has not </w:t>
      </w:r>
      <w:r>
        <w:rPr>
          <w:rFonts w:cs="Arial"/>
          <w:szCs w:val="22"/>
        </w:rPr>
        <w:t>committed</w:t>
      </w:r>
      <w:r w:rsidRPr="00AD5A65">
        <w:rPr>
          <w:rFonts w:cs="Arial"/>
          <w:szCs w:val="22"/>
        </w:rPr>
        <w:t xml:space="preserve">, nor shall it </w:t>
      </w:r>
      <w:r>
        <w:rPr>
          <w:rFonts w:cs="Arial"/>
          <w:szCs w:val="22"/>
        </w:rPr>
        <w:t>commit</w:t>
      </w:r>
      <w:r w:rsidRPr="00AD5A65">
        <w:rPr>
          <w:rFonts w:cs="Arial"/>
          <w:szCs w:val="22"/>
        </w:rPr>
        <w:t>, any Prohibited Act</w:t>
      </w:r>
      <w:r>
        <w:rPr>
          <w:rFonts w:cs="Arial"/>
          <w:szCs w:val="22"/>
        </w:rPr>
        <w:t xml:space="preserve"> and shall procure </w:t>
      </w:r>
      <w:r w:rsidRPr="007A32F4">
        <w:t>that Partners undertake and agree not to commit any Prohibited Act;</w:t>
      </w:r>
    </w:p>
    <w:p w14:paraId="446373B7" w14:textId="4A79668A" w:rsidR="00EE56A7" w:rsidRDefault="00EE56A7" w:rsidP="0095685B">
      <w:pPr>
        <w:pStyle w:val="MRheading3"/>
        <w:spacing w:line="240" w:lineRule="auto"/>
        <w:rPr>
          <w:rFonts w:cs="Arial"/>
          <w:szCs w:val="22"/>
        </w:rPr>
      </w:pPr>
      <w:r w:rsidRPr="007A32F4">
        <w:t>it shall and</w:t>
      </w:r>
      <w:r>
        <w:rPr>
          <w:rFonts w:cs="Arial"/>
          <w:szCs w:val="22"/>
        </w:rPr>
        <w:t xml:space="preserve"> shall procure that the Partners shall </w:t>
      </w:r>
      <w:r w:rsidRPr="00AD5A65">
        <w:rPr>
          <w:rFonts w:cs="Arial"/>
          <w:szCs w:val="22"/>
        </w:rPr>
        <w:t xml:space="preserve">at all times comply with all </w:t>
      </w:r>
      <w:r w:rsidR="005437EF">
        <w:rPr>
          <w:rFonts w:cs="Arial"/>
          <w:szCs w:val="22"/>
        </w:rPr>
        <w:t>applicable laws</w:t>
      </w:r>
      <w:r w:rsidRPr="00AD5A65">
        <w:rPr>
          <w:rFonts w:cs="Arial"/>
          <w:szCs w:val="22"/>
        </w:rPr>
        <w:t xml:space="preserve"> </w:t>
      </w:r>
      <w:r w:rsidR="00447D41">
        <w:rPr>
          <w:rFonts w:cs="Arial"/>
          <w:szCs w:val="22"/>
        </w:rPr>
        <w:t>(</w:t>
      </w:r>
      <w:r>
        <w:rPr>
          <w:rFonts w:cs="Arial"/>
          <w:szCs w:val="22"/>
        </w:rPr>
        <w:t xml:space="preserve">including without limitation the IDA in accordance with paragraph </w:t>
      </w:r>
      <w:r>
        <w:rPr>
          <w:rFonts w:cs="Arial"/>
          <w:szCs w:val="22"/>
        </w:rPr>
        <w:fldChar w:fldCharType="begin"/>
      </w:r>
      <w:r>
        <w:rPr>
          <w:rFonts w:cs="Arial"/>
          <w:szCs w:val="22"/>
        </w:rPr>
        <w:instrText xml:space="preserve"> REF _Ref393441768 \r \h </w:instrText>
      </w:r>
      <w:r w:rsidR="00EC5CC0">
        <w:rPr>
          <w:rFonts w:cs="Arial"/>
          <w:szCs w:val="22"/>
        </w:rPr>
        <w:instrText xml:space="preserve"> \* MERGEFORMAT </w:instrText>
      </w:r>
      <w:r>
        <w:rPr>
          <w:rFonts w:cs="Arial"/>
          <w:szCs w:val="22"/>
        </w:rPr>
      </w:r>
      <w:r>
        <w:rPr>
          <w:rFonts w:cs="Arial"/>
          <w:szCs w:val="22"/>
        </w:rPr>
        <w:fldChar w:fldCharType="separate"/>
      </w:r>
      <w:r w:rsidR="006B5F2E">
        <w:rPr>
          <w:rFonts w:cs="Arial"/>
          <w:szCs w:val="22"/>
        </w:rPr>
        <w:t>1.7</w:t>
      </w:r>
      <w:r>
        <w:rPr>
          <w:rFonts w:cs="Arial"/>
          <w:szCs w:val="22"/>
        </w:rPr>
        <w:fldChar w:fldCharType="end"/>
      </w:r>
      <w:r w:rsidR="008E4E19">
        <w:rPr>
          <w:rFonts w:cs="Arial"/>
          <w:szCs w:val="22"/>
        </w:rPr>
        <w:t xml:space="preserve"> (Purpose of Grant)</w:t>
      </w:r>
      <w:r>
        <w:rPr>
          <w:rFonts w:cs="Arial"/>
          <w:szCs w:val="22"/>
        </w:rPr>
        <w:t xml:space="preserve"> above</w:t>
      </w:r>
      <w:r w:rsidR="00447D41">
        <w:rPr>
          <w:rFonts w:cs="Arial"/>
          <w:szCs w:val="22"/>
        </w:rPr>
        <w:t>), regulation</w:t>
      </w:r>
      <w:r w:rsidR="005437EF">
        <w:rPr>
          <w:rFonts w:cs="Arial"/>
          <w:szCs w:val="22"/>
        </w:rPr>
        <w:t>s</w:t>
      </w:r>
      <w:r>
        <w:rPr>
          <w:rFonts w:cs="Arial"/>
          <w:szCs w:val="22"/>
        </w:rPr>
        <w:t xml:space="preserve"> </w:t>
      </w:r>
      <w:r w:rsidRPr="00AD5A65">
        <w:rPr>
          <w:rFonts w:cs="Arial"/>
          <w:szCs w:val="22"/>
        </w:rPr>
        <w:t xml:space="preserve">and all applicable codes of practice and other </w:t>
      </w:r>
      <w:r>
        <w:rPr>
          <w:rFonts w:cs="Arial"/>
          <w:szCs w:val="22"/>
        </w:rPr>
        <w:t>similar</w:t>
      </w:r>
      <w:r w:rsidRPr="00AD5A65">
        <w:rPr>
          <w:rFonts w:cs="Arial"/>
          <w:szCs w:val="22"/>
        </w:rPr>
        <w:t xml:space="preserve"> codes or </w:t>
      </w:r>
      <w:r>
        <w:rPr>
          <w:rFonts w:cs="Arial"/>
          <w:szCs w:val="22"/>
        </w:rPr>
        <w:t>recommendations</w:t>
      </w:r>
      <w:r w:rsidR="00447D41">
        <w:rPr>
          <w:rFonts w:cs="Arial"/>
          <w:szCs w:val="22"/>
        </w:rPr>
        <w:t xml:space="preserve"> both in the UK and in the countries in which they are operating</w:t>
      </w:r>
      <w:r w:rsidRPr="00AD5A65">
        <w:rPr>
          <w:rFonts w:cs="Arial"/>
          <w:szCs w:val="22"/>
        </w:rPr>
        <w:t xml:space="preserve">, and shall notify THET immediately of any significant departure </w:t>
      </w:r>
      <w:r>
        <w:rPr>
          <w:rFonts w:cs="Arial"/>
          <w:szCs w:val="22"/>
        </w:rPr>
        <w:t>from</w:t>
      </w:r>
      <w:r w:rsidRPr="00AD5A65">
        <w:rPr>
          <w:rFonts w:cs="Arial"/>
          <w:szCs w:val="22"/>
        </w:rPr>
        <w:t xml:space="preserve"> such </w:t>
      </w:r>
      <w:r w:rsidR="005437EF">
        <w:rPr>
          <w:rFonts w:cs="Arial"/>
          <w:szCs w:val="22"/>
        </w:rPr>
        <w:t>laws</w:t>
      </w:r>
      <w:r w:rsidRPr="00AD5A65">
        <w:rPr>
          <w:rFonts w:cs="Arial"/>
          <w:szCs w:val="22"/>
        </w:rPr>
        <w:t xml:space="preserve">, </w:t>
      </w:r>
      <w:r w:rsidR="005437EF">
        <w:rPr>
          <w:rFonts w:cs="Arial"/>
          <w:szCs w:val="22"/>
        </w:rPr>
        <w:t xml:space="preserve">regulations, </w:t>
      </w:r>
      <w:r w:rsidRPr="00AD5A65">
        <w:rPr>
          <w:rFonts w:cs="Arial"/>
          <w:szCs w:val="22"/>
        </w:rPr>
        <w:t xml:space="preserve">codes or </w:t>
      </w:r>
      <w:r>
        <w:rPr>
          <w:rFonts w:cs="Arial"/>
          <w:szCs w:val="22"/>
        </w:rPr>
        <w:t>recommendations</w:t>
      </w:r>
      <w:r w:rsidRPr="00AD5A65">
        <w:rPr>
          <w:rFonts w:cs="Arial"/>
          <w:szCs w:val="22"/>
        </w:rPr>
        <w:t>;</w:t>
      </w:r>
    </w:p>
    <w:p w14:paraId="365AFB1D" w14:textId="7D9AA1E8" w:rsidR="00EE56A7" w:rsidRPr="007A32F4" w:rsidRDefault="01A3A62F">
      <w:pPr>
        <w:pStyle w:val="MRheading3"/>
        <w:spacing w:line="240" w:lineRule="auto"/>
      </w:pPr>
      <w:r w:rsidRPr="7D6BE9DE">
        <w:rPr>
          <w:rFonts w:cs="Arial"/>
        </w:rPr>
        <w:t xml:space="preserve">it shall and shall procure that the Partners shall comply with the </w:t>
      </w:r>
      <w:r>
        <w:t xml:space="preserve">requirements of the Health and Safety at Work etc. Act 1974 and any other acts, orders, regulations and codes of practice relating to health and safety, which may apply to employees and other persons working on the </w:t>
      </w:r>
      <w:r w:rsidR="4C574C7F">
        <w:t>GHWP</w:t>
      </w:r>
      <w:r>
        <w:t>;</w:t>
      </w:r>
    </w:p>
    <w:p w14:paraId="5B6053E3" w14:textId="7E00B74C" w:rsidR="00EE56A7" w:rsidRPr="007A32F4" w:rsidRDefault="00EE56A7">
      <w:pPr>
        <w:pStyle w:val="MRheading3"/>
        <w:spacing w:line="240" w:lineRule="auto"/>
      </w:pPr>
      <w:r w:rsidRPr="007A32F4">
        <w:t>it has and shall keep in place adequate procedures for dealing with any conflicts of interest;</w:t>
      </w:r>
    </w:p>
    <w:p w14:paraId="197F08D4" w14:textId="77777777" w:rsidR="00EE56A7" w:rsidRDefault="00EE56A7">
      <w:pPr>
        <w:pStyle w:val="MRheading3"/>
        <w:spacing w:line="240" w:lineRule="auto"/>
      </w:pPr>
      <w:r w:rsidRPr="007A32F4">
        <w:t>it has and shall keep in place systems to deal with the prevention of fraud and/or administrative malfunction;</w:t>
      </w:r>
    </w:p>
    <w:p w14:paraId="39826CEE" w14:textId="6F07C015" w:rsidR="00EE56A7" w:rsidRDefault="01A3A62F">
      <w:pPr>
        <w:pStyle w:val="MRheading3"/>
        <w:spacing w:line="240" w:lineRule="auto"/>
      </w:pPr>
      <w:r>
        <w:t xml:space="preserve">it shall and shall procure that the Partners shall comply with all relevant medical and ethical standards and all applicable legislation and codes of practice in force in England and Wales and any other territory in which the </w:t>
      </w:r>
      <w:r w:rsidR="4C574C7F">
        <w:t>GHWP</w:t>
      </w:r>
      <w:r w:rsidR="653B2BEC">
        <w:t xml:space="preserve"> </w:t>
      </w:r>
      <w:r>
        <w:t xml:space="preserve">takes place or to which the </w:t>
      </w:r>
      <w:r w:rsidR="4C574C7F">
        <w:t>GHWP</w:t>
      </w:r>
      <w:r w:rsidR="653B2BEC">
        <w:t xml:space="preserve"> </w:t>
      </w:r>
      <w:r>
        <w:t xml:space="preserve">relates;  </w:t>
      </w:r>
    </w:p>
    <w:p w14:paraId="5B99BDFA" w14:textId="66980C88" w:rsidR="00EE56A7" w:rsidRPr="007A32F4" w:rsidRDefault="005C736C">
      <w:pPr>
        <w:pStyle w:val="MRheading3"/>
        <w:spacing w:line="240" w:lineRule="auto"/>
      </w:pPr>
      <w:r w:rsidRPr="005C736C">
        <w:t xml:space="preserve">all </w:t>
      </w:r>
      <w:r w:rsidR="00330DD6">
        <w:t xml:space="preserve">financial and other </w:t>
      </w:r>
      <w:r>
        <w:t>i</w:t>
      </w:r>
      <w:r w:rsidRPr="005C736C">
        <w:t xml:space="preserve">nformation supplied by or on behalf of the </w:t>
      </w:r>
      <w:r>
        <w:t>Lead Partner</w:t>
      </w:r>
      <w:r w:rsidRPr="005C736C">
        <w:t xml:space="preserve"> in connection with </w:t>
      </w:r>
      <w:r w:rsidR="00DF7573">
        <w:t xml:space="preserve">this </w:t>
      </w:r>
      <w:r w:rsidR="00A65B5D">
        <w:t>Agreement</w:t>
      </w:r>
      <w:r w:rsidR="00DF7573">
        <w:t xml:space="preserve"> was</w:t>
      </w:r>
      <w:r w:rsidRPr="005C736C">
        <w:t xml:space="preserve"> true and accurate in all material respects </w:t>
      </w:r>
      <w:r w:rsidR="00DF7573">
        <w:t xml:space="preserve">as at the date it was provided </w:t>
      </w:r>
      <w:r w:rsidRPr="005C736C">
        <w:t xml:space="preserve">and is not misleading in any material respect </w:t>
      </w:r>
      <w:r w:rsidRPr="005C736C">
        <w:lastRenderedPageBreak/>
        <w:t>because of any omission</w:t>
      </w:r>
      <w:r w:rsidR="00CE72E1">
        <w:t xml:space="preserve">, subsequent </w:t>
      </w:r>
      <w:r w:rsidR="00A65B5D">
        <w:t>occurrence</w:t>
      </w:r>
      <w:r w:rsidRPr="005C736C">
        <w:t xml:space="preserve"> or ambiguity or for any other reason</w:t>
      </w:r>
      <w:r w:rsidR="008075EA">
        <w:t>;</w:t>
      </w:r>
    </w:p>
    <w:p w14:paraId="3419FFA8" w14:textId="77777777" w:rsidR="00EE56A7" w:rsidRDefault="00EE56A7">
      <w:pPr>
        <w:pStyle w:val="MRheading3"/>
        <w:spacing w:line="240" w:lineRule="auto"/>
        <w:rPr>
          <w:rFonts w:cs="Arial"/>
          <w:szCs w:val="22"/>
        </w:rPr>
      </w:pPr>
      <w:r w:rsidRPr="007A32F4">
        <w:t>it is not subject</w:t>
      </w:r>
      <w:r w:rsidRPr="00AD5A65">
        <w:rPr>
          <w:rFonts w:cs="Arial"/>
          <w:szCs w:val="22"/>
        </w:rPr>
        <w:t xml:space="preserve"> to any contractual or other restriction imposed by its own or any other organisation's rules or regulations or otherwise which may prevent or materially impede it from meeting its obligations in connection with the Grant; </w:t>
      </w:r>
    </w:p>
    <w:p w14:paraId="64718FB8" w14:textId="77777777" w:rsidR="00EE56A7" w:rsidRPr="007A32F4" w:rsidRDefault="00EE56A7">
      <w:pPr>
        <w:pStyle w:val="MRheading3"/>
        <w:spacing w:line="240" w:lineRule="auto"/>
      </w:pPr>
      <w:r w:rsidRPr="00AD5A65">
        <w:rPr>
          <w:rFonts w:cs="Arial"/>
          <w:szCs w:val="22"/>
        </w:rPr>
        <w:t xml:space="preserve">it is not </w:t>
      </w:r>
      <w:r w:rsidRPr="007A32F4">
        <w:t>aware of anything in its own affairs, which it has not disclosed to THET or any of THET's advisers, which might reasonably have influenced the decision of THET to make the Grant on the terms contained in this Agreement; and</w:t>
      </w:r>
    </w:p>
    <w:p w14:paraId="73A36ED1" w14:textId="77777777" w:rsidR="00EE56A7" w:rsidRPr="00AD5A65" w:rsidRDefault="00EE56A7">
      <w:pPr>
        <w:pStyle w:val="MRheading3"/>
        <w:spacing w:line="240" w:lineRule="auto"/>
        <w:rPr>
          <w:rFonts w:cs="Arial"/>
          <w:szCs w:val="22"/>
        </w:rPr>
      </w:pPr>
      <w:r w:rsidRPr="007A32F4">
        <w:t>since the date of its last accounts there has been no material change in its fina</w:t>
      </w:r>
      <w:r w:rsidRPr="00AD5A65">
        <w:rPr>
          <w:rFonts w:cs="Arial"/>
          <w:szCs w:val="22"/>
        </w:rPr>
        <w:t xml:space="preserve">ncial </w:t>
      </w:r>
      <w:r>
        <w:rPr>
          <w:rFonts w:cs="Arial"/>
          <w:szCs w:val="22"/>
        </w:rPr>
        <w:t>position or prospects</w:t>
      </w:r>
      <w:r w:rsidRPr="00E23EAB">
        <w:rPr>
          <w:rFonts w:cs="Arial"/>
          <w:szCs w:val="22"/>
        </w:rPr>
        <w:t>.</w:t>
      </w:r>
    </w:p>
    <w:p w14:paraId="5FDF341F" w14:textId="77777777" w:rsidR="00EE56A7" w:rsidRPr="00B23A09" w:rsidRDefault="00EE56A7">
      <w:pPr>
        <w:pStyle w:val="MRheading1"/>
        <w:spacing w:line="240" w:lineRule="auto"/>
        <w:rPr>
          <w:bCs/>
        </w:rPr>
      </w:pPr>
      <w:bookmarkStart w:id="54" w:name="_Ref319073095"/>
      <w:r w:rsidRPr="007A32F4">
        <w:t>Insurance</w:t>
      </w:r>
      <w:bookmarkEnd w:id="54"/>
    </w:p>
    <w:p w14:paraId="10DF6E31" w14:textId="748BD497" w:rsidR="00EE56A7" w:rsidRDefault="00EE56A7">
      <w:pPr>
        <w:pStyle w:val="MRheading2"/>
        <w:spacing w:line="240" w:lineRule="auto"/>
      </w:pPr>
      <w:bookmarkStart w:id="55" w:name="_Ref124835171"/>
      <w:r>
        <w:t xml:space="preserve">The </w:t>
      </w:r>
      <w:r w:rsidR="00632356">
        <w:t>Lead Partner</w:t>
      </w:r>
      <w:r>
        <w:t xml:space="preserve"> shall</w:t>
      </w:r>
      <w:r w:rsidR="00ED04A7">
        <w:t xml:space="preserve">, for the </w:t>
      </w:r>
      <w:r w:rsidR="008075EA">
        <w:t xml:space="preserve">duration </w:t>
      </w:r>
      <w:r w:rsidR="00ED04A7">
        <w:t xml:space="preserve">of this </w:t>
      </w:r>
      <w:r w:rsidR="008F578B">
        <w:t>A</w:t>
      </w:r>
      <w:r w:rsidR="00ED04A7">
        <w:t xml:space="preserve">greement and for six years after termination or expiry of this </w:t>
      </w:r>
      <w:r w:rsidR="008F578B">
        <w:t>A</w:t>
      </w:r>
      <w:r w:rsidR="00ED04A7">
        <w:t>greement,</w:t>
      </w:r>
      <w:r>
        <w:t xml:space="preserve"> effect and maintain with a reputable insurance company a policy or policies of insurance providing an adequate level of cover</w:t>
      </w:r>
      <w:r w:rsidR="00E74D20">
        <w:t xml:space="preserve"> </w:t>
      </w:r>
      <w:r>
        <w:t xml:space="preserve">in respect of all risks which may be incurred by the </w:t>
      </w:r>
      <w:r w:rsidR="00632356">
        <w:t>Lead Partner</w:t>
      </w:r>
      <w:r w:rsidR="00B56992">
        <w:t xml:space="preserve"> and its Representatives</w:t>
      </w:r>
      <w:r>
        <w:t xml:space="preserve">, arising out of the </w:t>
      </w:r>
      <w:r w:rsidR="00632356">
        <w:t>Lead Partner</w:t>
      </w:r>
      <w:r>
        <w:t xml:space="preserve">'s </w:t>
      </w:r>
      <w:r w:rsidR="00E53B2E">
        <w:t xml:space="preserve">and its Representatives’ </w:t>
      </w:r>
      <w:r>
        <w:t xml:space="preserve">performance of this Agreement, including without limitation death or personal injury, illness, disability, healthcare, travel and loss of or damage to property or any other loss. Such policies shall include cover in respect of any financial loss arising from any advice given or omitted to be given by the </w:t>
      </w:r>
      <w:r w:rsidR="00632356">
        <w:t>Lead Partner</w:t>
      </w:r>
      <w:r>
        <w:t>.</w:t>
      </w:r>
      <w:bookmarkEnd w:id="55"/>
    </w:p>
    <w:p w14:paraId="66931AFA" w14:textId="37FB4FB4" w:rsidR="00EE56A7" w:rsidRDefault="00EE56A7">
      <w:pPr>
        <w:pStyle w:val="MRheading2"/>
        <w:spacing w:line="240" w:lineRule="auto"/>
      </w:pPr>
      <w:r>
        <w:t xml:space="preserve">The </w:t>
      </w:r>
      <w:r w:rsidR="00632356">
        <w:t>Lead Partner</w:t>
      </w:r>
      <w:r>
        <w:t xml:space="preserve"> shall hold employer's liability insurance in respect of its staff, </w:t>
      </w:r>
      <w:r w:rsidRPr="00FB01F6">
        <w:t xml:space="preserve">servants, agents, suppliers and </w:t>
      </w:r>
      <w:r>
        <w:t xml:space="preserve">Partner(s) </w:t>
      </w:r>
      <w:r w:rsidRPr="00FB01F6">
        <w:t>used in the performanc</w:t>
      </w:r>
      <w:r>
        <w:t>e of its obligations under this A</w:t>
      </w:r>
      <w:r w:rsidRPr="00FB01F6">
        <w:t>greement</w:t>
      </w:r>
      <w:r>
        <w:t xml:space="preserve"> in accordance with any legal requirement for the time being in force.</w:t>
      </w:r>
    </w:p>
    <w:p w14:paraId="347EC61B" w14:textId="3F2D8136" w:rsidR="00EE56A7" w:rsidRDefault="00EE56A7">
      <w:pPr>
        <w:pStyle w:val="MRheading2"/>
        <w:spacing w:line="240" w:lineRule="auto"/>
      </w:pPr>
      <w:r>
        <w:t xml:space="preserve">The </w:t>
      </w:r>
      <w:r w:rsidR="00632356">
        <w:t>Lead Partner</w:t>
      </w:r>
      <w:r>
        <w:t xml:space="preserve"> shall give THET,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7E82D91D" w14:textId="7D43C985" w:rsidR="00EE56A7" w:rsidRDefault="00EE56A7">
      <w:pPr>
        <w:pStyle w:val="MRheading2"/>
        <w:spacing w:line="240" w:lineRule="auto"/>
      </w:pPr>
      <w:r>
        <w:t xml:space="preserve">If, for whatever reason, the </w:t>
      </w:r>
      <w:r w:rsidR="00632356">
        <w:t>Lead Partner</w:t>
      </w:r>
      <w:r>
        <w:t xml:space="preserve"> fails to give effect to and maintain the insurances required by this Agreement THET may make alternative arrangements to protect its interests and may recover the costs of such arrangements from the </w:t>
      </w:r>
      <w:r w:rsidR="00632356">
        <w:t>Lead Partner</w:t>
      </w:r>
      <w:r>
        <w:t>.</w:t>
      </w:r>
    </w:p>
    <w:p w14:paraId="7CD02F88" w14:textId="26288AB0" w:rsidR="00EE56A7" w:rsidRDefault="00EE56A7" w:rsidP="0095685B">
      <w:pPr>
        <w:pStyle w:val="MRheading2"/>
        <w:spacing w:line="240" w:lineRule="auto"/>
      </w:pPr>
      <w:r>
        <w:t xml:space="preserve">The terms of any insurance or the amount of cover shall not relieve the </w:t>
      </w:r>
      <w:r w:rsidR="00632356">
        <w:t>Lead Partner</w:t>
      </w:r>
      <w:r>
        <w:t xml:space="preserve"> of any liabilities under this Agreement. It shall be the responsibility of the </w:t>
      </w:r>
      <w:r w:rsidR="00632356">
        <w:t>Lead Partner</w:t>
      </w:r>
      <w:r>
        <w:t xml:space="preserve"> to determine</w:t>
      </w:r>
      <w:r w:rsidR="006C3319">
        <w:t>, acting in a reasonable and prudent manner,</w:t>
      </w:r>
      <w:r>
        <w:t xml:space="preserve"> the amount of insurance cover that will be adequate to enable the </w:t>
      </w:r>
      <w:r w:rsidR="00632356">
        <w:t>Lead Partner</w:t>
      </w:r>
      <w:r>
        <w:t xml:space="preserve"> to satisfy any liability referred to in </w:t>
      </w:r>
      <w:r w:rsidR="00591FC3">
        <w:t xml:space="preserve">paragraph </w:t>
      </w:r>
      <w:r>
        <w:fldChar w:fldCharType="begin"/>
      </w:r>
      <w:r>
        <w:instrText xml:space="preserve"> REF _Ref393364769 \r \h </w:instrText>
      </w:r>
      <w:r w:rsidR="00EC5CC0">
        <w:instrText xml:space="preserve"> \* MERGEFORMAT </w:instrText>
      </w:r>
      <w:r>
        <w:fldChar w:fldCharType="separate"/>
      </w:r>
      <w:r w:rsidR="006B5F2E">
        <w:t>17</w:t>
      </w:r>
      <w:r>
        <w:fldChar w:fldCharType="end"/>
      </w:r>
      <w:r>
        <w:t xml:space="preserve"> (Limitation of Liability).</w:t>
      </w:r>
    </w:p>
    <w:p w14:paraId="59BC7A4D" w14:textId="22C7E7CA" w:rsidR="00EE56A7" w:rsidRPr="001B621F" w:rsidRDefault="06D88160">
      <w:pPr>
        <w:pStyle w:val="MRheading2"/>
        <w:spacing w:line="240" w:lineRule="auto"/>
      </w:pPr>
      <w:r>
        <w:t xml:space="preserve">Notwithstanding paragraph </w:t>
      </w:r>
      <w:r w:rsidR="009E388B">
        <w:fldChar w:fldCharType="begin"/>
      </w:r>
      <w:r w:rsidR="009E388B">
        <w:instrText xml:space="preserve"> REF _Ref124835171 \n \h </w:instrText>
      </w:r>
      <w:r w:rsidR="009E388B">
        <w:fldChar w:fldCharType="separate"/>
      </w:r>
      <w:r w:rsidR="006B5F2E">
        <w:t>19.1</w:t>
      </w:r>
      <w:r w:rsidR="009E388B">
        <w:fldChar w:fldCharType="end"/>
      </w:r>
      <w:r w:rsidR="3FEFE5B2">
        <w:t xml:space="preserve">, </w:t>
      </w:r>
      <w:r>
        <w:t>t</w:t>
      </w:r>
      <w:r w:rsidR="01A3A62F">
        <w:t xml:space="preserve">he </w:t>
      </w:r>
      <w:r w:rsidR="7D62A095">
        <w:t>Lead Partner</w:t>
      </w:r>
      <w:r w:rsidR="01A3A62F">
        <w:t xml:space="preserve"> shall hold and maintain professional indemnity insurance cover and shall ensure that all professional consultants or Partners involved in the performance of the</w:t>
      </w:r>
      <w:r w:rsidR="136D7CE6">
        <w:t xml:space="preserve"> </w:t>
      </w:r>
      <w:r w:rsidR="4C574C7F">
        <w:t>GHWP</w:t>
      </w:r>
      <w:r w:rsidR="01A3A62F">
        <w:t xml:space="preserve"> </w:t>
      </w:r>
      <w:r w:rsidR="3FD358B0">
        <w:t xml:space="preserve">project </w:t>
      </w:r>
      <w:r w:rsidR="01A3A62F">
        <w:t xml:space="preserve">hold and </w:t>
      </w:r>
      <w:r w:rsidR="01A3A62F">
        <w:lastRenderedPageBreak/>
        <w:t xml:space="preserve">maintain appropriate cover. To comply with its obligations under this clause, and as a minimum, the </w:t>
      </w:r>
      <w:r w:rsidR="7D62A095">
        <w:t>Lead Partner</w:t>
      </w:r>
      <w:r w:rsidR="01A3A62F">
        <w:t xml:space="preserve"> shall ensure professional indemnity insurance held by the </w:t>
      </w:r>
      <w:r w:rsidR="7D62A095">
        <w:t>Lead Partner</w:t>
      </w:r>
      <w:r w:rsidR="01A3A62F">
        <w:t xml:space="preserve"> and by any agent, Partner or consultant involved in the performance of the </w:t>
      </w:r>
      <w:r w:rsidR="4C574C7F">
        <w:t>GHWP</w:t>
      </w:r>
      <w:r w:rsidR="3FD358B0">
        <w:t xml:space="preserve"> </w:t>
      </w:r>
      <w:r w:rsidR="01A3A62F">
        <w:t>has a limit of indemnity of not less than £10,000,000 for any occurrences arising out of each and every event. Such insurance shall be maintained for a minimum of six years following the expiration or earlier termination of this Agreement.</w:t>
      </w:r>
    </w:p>
    <w:p w14:paraId="2EACCC97" w14:textId="77777777" w:rsidR="00EE56A7" w:rsidRPr="00B23A09" w:rsidRDefault="00EE56A7">
      <w:pPr>
        <w:pStyle w:val="MRheading1"/>
        <w:spacing w:line="240" w:lineRule="auto"/>
        <w:rPr>
          <w:bCs/>
        </w:rPr>
      </w:pPr>
      <w:r w:rsidRPr="00A6073F">
        <w:t>Duration</w:t>
      </w:r>
    </w:p>
    <w:p w14:paraId="2333D61F" w14:textId="77777777" w:rsidR="009C5927" w:rsidRPr="00730E8E" w:rsidRDefault="00EE56A7">
      <w:pPr>
        <w:pStyle w:val="MRheading2"/>
        <w:spacing w:line="240" w:lineRule="auto"/>
        <w:rPr>
          <w:rFonts w:cs="Arial"/>
          <w:szCs w:val="22"/>
        </w:rPr>
      </w:pPr>
      <w:r w:rsidRPr="00AD5A65">
        <w:t xml:space="preserve">Except where </w:t>
      </w:r>
      <w:r w:rsidR="00C354AA">
        <w:t xml:space="preserve">terminated earlier pursuant to its terms or as </w:t>
      </w:r>
      <w:r w:rsidRPr="00AD5A65">
        <w:t>otherwise specified</w:t>
      </w:r>
      <w:r>
        <w:t xml:space="preserve"> </w:t>
      </w:r>
      <w:r w:rsidR="00C354AA">
        <w:t xml:space="preserve">herein </w:t>
      </w:r>
      <w:r>
        <w:t>or agreed in writing</w:t>
      </w:r>
      <w:r w:rsidRPr="00AD5A65">
        <w:t xml:space="preserve">, the terms of this </w:t>
      </w:r>
      <w:r w:rsidRPr="00A6073F">
        <w:rPr>
          <w:rFonts w:cs="Arial"/>
          <w:szCs w:val="22"/>
        </w:rPr>
        <w:t>Agreement</w:t>
      </w:r>
      <w:r w:rsidRPr="00AD5A65">
        <w:t xml:space="preserve"> shall apply from the date of this Agreement </w:t>
      </w:r>
      <w:r w:rsidR="009C5927">
        <w:t>until the later to occur of:</w:t>
      </w:r>
    </w:p>
    <w:p w14:paraId="363196EC" w14:textId="5FEAAB6F" w:rsidR="00EE56A7" w:rsidRDefault="00EE56A7" w:rsidP="009C5927">
      <w:pPr>
        <w:pStyle w:val="MRheading3"/>
        <w:rPr>
          <w:rFonts w:cs="Arial"/>
          <w:szCs w:val="22"/>
        </w:rPr>
      </w:pPr>
      <w:r w:rsidRPr="00AD5A65">
        <w:t>the expiry of the Grant Period</w:t>
      </w:r>
      <w:r w:rsidR="009C5927">
        <w:rPr>
          <w:rFonts w:cs="Arial"/>
          <w:szCs w:val="22"/>
        </w:rPr>
        <w:t>; and</w:t>
      </w:r>
    </w:p>
    <w:p w14:paraId="493FF1E1" w14:textId="034CA567" w:rsidR="009C5927" w:rsidRPr="00730E8E" w:rsidRDefault="009C5927" w:rsidP="00730E8E">
      <w:pPr>
        <w:pStyle w:val="MRheading3"/>
        <w:rPr>
          <w:rFonts w:cs="Arial"/>
          <w:szCs w:val="22"/>
        </w:rPr>
      </w:pPr>
      <w:r>
        <w:rPr>
          <w:rFonts w:cs="Arial"/>
          <w:szCs w:val="22"/>
        </w:rPr>
        <w:t>the date on which all Grant monies have been spent</w:t>
      </w:r>
      <w:r w:rsidR="00F30B2A">
        <w:rPr>
          <w:rFonts w:cs="Arial"/>
          <w:szCs w:val="22"/>
        </w:rPr>
        <w:t xml:space="preserve"> on Funded Activities</w:t>
      </w:r>
      <w:r w:rsidR="007C3931">
        <w:rPr>
          <w:rFonts w:cs="Arial"/>
          <w:szCs w:val="22"/>
        </w:rPr>
        <w:t xml:space="preserve"> by the Lead Partner</w:t>
      </w:r>
      <w:r w:rsidR="004C10D2">
        <w:rPr>
          <w:rFonts w:cs="Arial"/>
          <w:szCs w:val="22"/>
        </w:rPr>
        <w:t xml:space="preserve"> in accordance with the terms of this Agreement</w:t>
      </w:r>
      <w:r>
        <w:rPr>
          <w:rFonts w:cs="Arial"/>
          <w:szCs w:val="22"/>
        </w:rPr>
        <w:t>.</w:t>
      </w:r>
    </w:p>
    <w:p w14:paraId="27779BF3" w14:textId="4BD19E9A" w:rsidR="00EE56A7" w:rsidRPr="00AD5A65" w:rsidRDefault="00EE56A7">
      <w:pPr>
        <w:pStyle w:val="MRheading2"/>
        <w:spacing w:line="240" w:lineRule="auto"/>
        <w:rPr>
          <w:rFonts w:cs="Arial"/>
          <w:szCs w:val="22"/>
        </w:rPr>
      </w:pPr>
      <w:r w:rsidRPr="00AD5A65">
        <w:rPr>
          <w:rFonts w:cs="Arial"/>
          <w:szCs w:val="22"/>
        </w:rPr>
        <w:t xml:space="preserve">Any obligations under this Agreement that remain unfulfilled following the expiry or </w:t>
      </w:r>
      <w:r>
        <w:rPr>
          <w:rFonts w:cs="Arial"/>
          <w:szCs w:val="22"/>
        </w:rPr>
        <w:t>termination</w:t>
      </w:r>
      <w:r w:rsidRPr="00AD5A65">
        <w:rPr>
          <w:rFonts w:cs="Arial"/>
          <w:szCs w:val="22"/>
        </w:rPr>
        <w:t xml:space="preserve"> of the Agreement </w:t>
      </w:r>
      <w:r w:rsidR="006B30FB">
        <w:rPr>
          <w:rFonts w:cs="Arial"/>
          <w:szCs w:val="22"/>
        </w:rPr>
        <w:t xml:space="preserve">and which are stated or by their nature are intended to continue </w:t>
      </w:r>
      <w:r w:rsidRPr="00AD5A65">
        <w:rPr>
          <w:rFonts w:cs="Arial"/>
          <w:szCs w:val="22"/>
        </w:rPr>
        <w:t xml:space="preserve">shall </w:t>
      </w:r>
      <w:r>
        <w:rPr>
          <w:rFonts w:cs="Arial"/>
          <w:szCs w:val="22"/>
        </w:rPr>
        <w:t>survive</w:t>
      </w:r>
      <w:r w:rsidRPr="00AD5A65">
        <w:rPr>
          <w:rFonts w:cs="Arial"/>
          <w:szCs w:val="22"/>
        </w:rPr>
        <w:t xml:space="preserve"> such expiry or </w:t>
      </w:r>
      <w:r>
        <w:rPr>
          <w:rFonts w:cs="Arial"/>
          <w:szCs w:val="22"/>
        </w:rPr>
        <w:t>termination</w:t>
      </w:r>
      <w:r w:rsidRPr="00AD5A65">
        <w:rPr>
          <w:rFonts w:cs="Arial"/>
          <w:szCs w:val="22"/>
        </w:rPr>
        <w:t xml:space="preserve"> and continue in full force and effect until they have been fulfilled.</w:t>
      </w:r>
      <w:r w:rsidR="00C354AA">
        <w:rPr>
          <w:rFonts w:cs="Arial"/>
          <w:szCs w:val="22"/>
        </w:rPr>
        <w:t xml:space="preserve"> In addition, t</w:t>
      </w:r>
      <w:r w:rsidR="00C354AA">
        <w:t xml:space="preserve">ermination or expiry of the Agreement, howsoever caused, shall not prejudice any rights and remedies of either </w:t>
      </w:r>
      <w:r w:rsidR="00BA09EA">
        <w:t xml:space="preserve">Party </w:t>
      </w:r>
      <w:r w:rsidR="00273B73">
        <w:t>or</w:t>
      </w:r>
      <w:r w:rsidR="00BA09EA">
        <w:t xml:space="preserve"> of DHSC </w:t>
      </w:r>
      <w:r w:rsidR="00C354AA">
        <w:t>which may have accrued under the Agreement up to the date of termination or expiry, and shall not affect any provision of the Agreement which is expressly or by implication intended to come into or remain in effect on or after termination or expiry.</w:t>
      </w:r>
    </w:p>
    <w:p w14:paraId="32A6864E" w14:textId="77777777" w:rsidR="00EE56A7" w:rsidRPr="00A6073F" w:rsidRDefault="00EE56A7">
      <w:pPr>
        <w:pStyle w:val="MRheading1"/>
        <w:spacing w:line="240" w:lineRule="auto"/>
        <w:rPr>
          <w:bCs/>
        </w:rPr>
      </w:pPr>
      <w:bookmarkStart w:id="56" w:name="_Ref319073700"/>
      <w:r w:rsidRPr="00A6073F">
        <w:t>Termination</w:t>
      </w:r>
      <w:r w:rsidRPr="00A6073F">
        <w:rPr>
          <w:bCs/>
        </w:rPr>
        <w:t xml:space="preserve"> by THET</w:t>
      </w:r>
      <w:bookmarkEnd w:id="56"/>
    </w:p>
    <w:p w14:paraId="397B2DB0" w14:textId="19BCEDB7" w:rsidR="00EE56A7" w:rsidRDefault="00EE56A7" w:rsidP="0095685B">
      <w:pPr>
        <w:pStyle w:val="MRheading2"/>
        <w:spacing w:line="240" w:lineRule="auto"/>
        <w:rPr>
          <w:rFonts w:cs="Arial"/>
          <w:szCs w:val="22"/>
        </w:rPr>
      </w:pPr>
      <w:r>
        <w:rPr>
          <w:rFonts w:cs="Arial"/>
          <w:szCs w:val="22"/>
        </w:rPr>
        <w:t xml:space="preserve">In addition to THET’s rights to suspend this Agreement and Grant payments and/or reclaim Grant monies under paragraph </w:t>
      </w:r>
      <w:r>
        <w:rPr>
          <w:rFonts w:cs="Arial"/>
          <w:szCs w:val="22"/>
        </w:rPr>
        <w:fldChar w:fldCharType="begin"/>
      </w:r>
      <w:r>
        <w:rPr>
          <w:rFonts w:cs="Arial"/>
          <w:szCs w:val="22"/>
        </w:rPr>
        <w:instrText xml:space="preserve"> REF _Ref319073136 \r \h </w:instrText>
      </w:r>
      <w:r w:rsidR="00EC5CC0">
        <w:rPr>
          <w:rFonts w:cs="Arial"/>
          <w:szCs w:val="22"/>
        </w:rPr>
        <w:instrText xml:space="preserve"> \* MERGEFORMAT </w:instrText>
      </w:r>
      <w:r>
        <w:rPr>
          <w:rFonts w:cs="Arial"/>
          <w:szCs w:val="22"/>
        </w:rPr>
      </w:r>
      <w:r>
        <w:rPr>
          <w:rFonts w:cs="Arial"/>
          <w:szCs w:val="22"/>
        </w:rPr>
        <w:fldChar w:fldCharType="separate"/>
      </w:r>
      <w:r w:rsidR="006B5F2E">
        <w:rPr>
          <w:rFonts w:cs="Arial"/>
          <w:szCs w:val="22"/>
        </w:rPr>
        <w:t>14</w:t>
      </w:r>
      <w:r>
        <w:rPr>
          <w:rFonts w:cs="Arial"/>
          <w:szCs w:val="22"/>
        </w:rPr>
        <w:fldChar w:fldCharType="end"/>
      </w:r>
      <w:r w:rsidR="00C85DA8">
        <w:rPr>
          <w:rFonts w:cs="Arial"/>
          <w:szCs w:val="22"/>
        </w:rPr>
        <w:t xml:space="preserve"> (</w:t>
      </w:r>
      <w:r w:rsidR="00F12FC8">
        <w:rPr>
          <w:rFonts w:cs="Arial"/>
          <w:szCs w:val="22"/>
        </w:rPr>
        <w:t>Withholding</w:t>
      </w:r>
      <w:r w:rsidR="00C85DA8">
        <w:rPr>
          <w:rFonts w:cs="Arial"/>
          <w:szCs w:val="22"/>
        </w:rPr>
        <w:t>, Suspension and Repayment of Grant)</w:t>
      </w:r>
      <w:r>
        <w:rPr>
          <w:rFonts w:cs="Arial"/>
          <w:szCs w:val="22"/>
        </w:rPr>
        <w:t xml:space="preserve"> and without prejudice to any other rights and remedies available to THET, </w:t>
      </w:r>
      <w:r w:rsidRPr="00AD5A65">
        <w:rPr>
          <w:rFonts w:cs="Arial"/>
          <w:szCs w:val="22"/>
        </w:rPr>
        <w:t xml:space="preserve">THET may </w:t>
      </w:r>
      <w:r>
        <w:rPr>
          <w:rFonts w:cs="Arial"/>
          <w:szCs w:val="22"/>
        </w:rPr>
        <w:t>at its sole discretion:</w:t>
      </w:r>
    </w:p>
    <w:p w14:paraId="45947A20" w14:textId="1F3290C3" w:rsidR="00EE56A7" w:rsidRDefault="00EE56A7">
      <w:pPr>
        <w:pStyle w:val="MRheading3"/>
        <w:spacing w:line="240" w:lineRule="auto"/>
      </w:pPr>
      <w:r w:rsidRPr="00AD5A65">
        <w:t>terminate</w:t>
      </w:r>
      <w:r>
        <w:t xml:space="preserve"> </w:t>
      </w:r>
      <w:r w:rsidR="00C354AA">
        <w:t xml:space="preserve">or suspend </w:t>
      </w:r>
      <w:r>
        <w:t xml:space="preserve">this </w:t>
      </w:r>
      <w:r w:rsidRPr="00AD5A65">
        <w:t>Agreement and any Grant payments</w:t>
      </w:r>
      <w:r>
        <w:t xml:space="preserve"> hereunder</w:t>
      </w:r>
      <w:r w:rsidRPr="00AD5A65">
        <w:t xml:space="preserve"> on giving the </w:t>
      </w:r>
      <w:r w:rsidR="00632356">
        <w:t>Lead Partner</w:t>
      </w:r>
      <w:r w:rsidRPr="00AD5A65">
        <w:t xml:space="preserve"> </w:t>
      </w:r>
      <w:r>
        <w:t>thirty (30) days’</w:t>
      </w:r>
      <w:r w:rsidRPr="00AD5A65">
        <w:t xml:space="preserve"> written notice</w:t>
      </w:r>
      <w:r>
        <w:t>;</w:t>
      </w:r>
    </w:p>
    <w:p w14:paraId="6C1DF883" w14:textId="71E847DA" w:rsidR="00EE56A7" w:rsidRDefault="00EE56A7">
      <w:pPr>
        <w:pStyle w:val="MRheading3"/>
        <w:spacing w:line="240" w:lineRule="auto"/>
        <w:rPr>
          <w:rFonts w:cs="Arial"/>
          <w:szCs w:val="22"/>
        </w:rPr>
      </w:pPr>
      <w:r w:rsidRPr="00A6073F">
        <w:t>terminate</w:t>
      </w:r>
      <w:r>
        <w:rPr>
          <w:rFonts w:cs="Arial"/>
          <w:szCs w:val="22"/>
        </w:rPr>
        <w:t xml:space="preserve"> this Agreement </w:t>
      </w:r>
      <w:r w:rsidR="00105B57">
        <w:rPr>
          <w:rFonts w:cs="Arial"/>
          <w:szCs w:val="22"/>
        </w:rPr>
        <w:t xml:space="preserve">with immediate effect </w:t>
      </w:r>
      <w:r w:rsidR="00C354AA">
        <w:rPr>
          <w:rFonts w:cs="Arial"/>
          <w:szCs w:val="22"/>
        </w:rPr>
        <w:t xml:space="preserve">by providing written notice to the </w:t>
      </w:r>
      <w:r w:rsidR="00632356">
        <w:rPr>
          <w:rFonts w:cs="Arial"/>
          <w:szCs w:val="22"/>
        </w:rPr>
        <w:t>Lead Partner</w:t>
      </w:r>
      <w:r w:rsidR="00C354AA">
        <w:rPr>
          <w:rFonts w:cs="Arial"/>
          <w:szCs w:val="22"/>
        </w:rPr>
        <w:t xml:space="preserve"> </w:t>
      </w:r>
      <w:r>
        <w:rPr>
          <w:rFonts w:cs="Arial"/>
          <w:szCs w:val="22"/>
        </w:rPr>
        <w:t>if:</w:t>
      </w:r>
    </w:p>
    <w:p w14:paraId="67EDF70B" w14:textId="2F2B53CA" w:rsidR="004905D9" w:rsidRDefault="004905D9">
      <w:pPr>
        <w:pStyle w:val="MRheading4"/>
        <w:spacing w:line="240" w:lineRule="auto"/>
      </w:pPr>
      <w:r w:rsidRPr="00AD5A65">
        <w:t>the Grant</w:t>
      </w:r>
      <w:r>
        <w:t xml:space="preserve"> is used</w:t>
      </w:r>
      <w:r w:rsidRPr="00AD5A65">
        <w:t xml:space="preserve"> for purposes other than those for which </w:t>
      </w:r>
      <w:r>
        <w:rPr>
          <w:rFonts w:cs="Arial"/>
          <w:szCs w:val="22"/>
        </w:rPr>
        <w:t>it</w:t>
      </w:r>
      <w:r w:rsidRPr="00AD5A65">
        <w:rPr>
          <w:rFonts w:cs="Arial"/>
          <w:szCs w:val="22"/>
        </w:rPr>
        <w:t xml:space="preserve"> has been awarded;</w:t>
      </w:r>
    </w:p>
    <w:p w14:paraId="54D3A017" w14:textId="26C4D361" w:rsidR="00EE56A7" w:rsidRPr="00A6073F" w:rsidRDefault="00EE56A7">
      <w:pPr>
        <w:pStyle w:val="MRheading4"/>
        <w:spacing w:line="240" w:lineRule="auto"/>
      </w:pPr>
      <w:r w:rsidRPr="00A6073F">
        <w:t xml:space="preserve">the </w:t>
      </w:r>
      <w:r w:rsidR="00632356">
        <w:t>Lead Partner</w:t>
      </w:r>
      <w:r w:rsidRPr="00A6073F">
        <w:t xml:space="preserve"> or any Partner has committed any Prohibited Act</w:t>
      </w:r>
      <w:r>
        <w:t>;</w:t>
      </w:r>
    </w:p>
    <w:p w14:paraId="55B17EC7" w14:textId="77777777" w:rsidR="00EE56A7" w:rsidRDefault="00EE56A7">
      <w:pPr>
        <w:pStyle w:val="MRheading4"/>
        <w:spacing w:line="240" w:lineRule="auto"/>
      </w:pPr>
      <w:r>
        <w:t>the Funding Agreement is terminated for any reason whatsoever;</w:t>
      </w:r>
    </w:p>
    <w:p w14:paraId="15596BC4" w14:textId="1EB26B86" w:rsidR="00EE56A7" w:rsidRDefault="00632356" w:rsidP="0095685B">
      <w:pPr>
        <w:pStyle w:val="MRheading4"/>
        <w:spacing w:line="240" w:lineRule="auto"/>
      </w:pPr>
      <w:r>
        <w:t>Lead Partner</w:t>
      </w:r>
      <w:r w:rsidR="00EE56A7">
        <w:t xml:space="preserve"> or any Partner commits a material breach of any of the terms of this Agreement (including without limitation a breach of warranty as set out in paragraph </w:t>
      </w:r>
      <w:r w:rsidR="00EE56A7">
        <w:fldChar w:fldCharType="begin"/>
      </w:r>
      <w:r w:rsidR="00EE56A7">
        <w:instrText xml:space="preserve"> REF _Ref319395273 \r \h </w:instrText>
      </w:r>
      <w:r w:rsidR="00EC5CC0">
        <w:instrText xml:space="preserve"> \* MERGEFORMAT </w:instrText>
      </w:r>
      <w:r w:rsidR="00EE56A7">
        <w:fldChar w:fldCharType="separate"/>
      </w:r>
      <w:r w:rsidR="006B5F2E">
        <w:t>18</w:t>
      </w:r>
      <w:r w:rsidR="00EE56A7">
        <w:fldChar w:fldCharType="end"/>
      </w:r>
      <w:r w:rsidR="00AE7950">
        <w:t xml:space="preserve"> (Warranties)</w:t>
      </w:r>
      <w:r w:rsidR="00EE56A7">
        <w:t xml:space="preserve"> and/or a breach of any of the obligations </w:t>
      </w:r>
      <w:r w:rsidR="00EE56A7">
        <w:lastRenderedPageBreak/>
        <w:t xml:space="preserve">in paragraphs </w:t>
      </w:r>
      <w:r w:rsidR="00EE56A7">
        <w:fldChar w:fldCharType="begin"/>
      </w:r>
      <w:r w:rsidR="00EE56A7">
        <w:instrText xml:space="preserve"> REF _Ref395168208 \r \h </w:instrText>
      </w:r>
      <w:r w:rsidR="00EC5CC0">
        <w:instrText xml:space="preserve"> \* MERGEFORMAT </w:instrText>
      </w:r>
      <w:r w:rsidR="00EE56A7">
        <w:fldChar w:fldCharType="separate"/>
      </w:r>
      <w:r w:rsidR="006B5F2E">
        <w:t>1.5</w:t>
      </w:r>
      <w:r w:rsidR="00EE56A7">
        <w:fldChar w:fldCharType="end"/>
      </w:r>
      <w:r w:rsidR="00EE56A7">
        <w:t xml:space="preserve"> </w:t>
      </w:r>
      <w:r w:rsidR="008E4E19">
        <w:t xml:space="preserve">(Purpose of Grant) </w:t>
      </w:r>
      <w:r w:rsidR="00EE56A7">
        <w:t xml:space="preserve">and </w:t>
      </w:r>
      <w:r w:rsidR="00EE56A7">
        <w:fldChar w:fldCharType="begin"/>
      </w:r>
      <w:r w:rsidR="00EE56A7">
        <w:instrText xml:space="preserve"> REF _Ref395168220 \r \h </w:instrText>
      </w:r>
      <w:r w:rsidR="00EC5CC0">
        <w:instrText xml:space="preserve"> \* MERGEFORMAT </w:instrText>
      </w:r>
      <w:r w:rsidR="00EE56A7">
        <w:fldChar w:fldCharType="separate"/>
      </w:r>
      <w:r w:rsidR="006B5F2E">
        <w:t>1.6</w:t>
      </w:r>
      <w:r w:rsidR="00EE56A7">
        <w:fldChar w:fldCharType="end"/>
      </w:r>
      <w:r w:rsidR="00EE56A7">
        <w:t xml:space="preserve"> </w:t>
      </w:r>
      <w:r w:rsidR="00007EDA">
        <w:t xml:space="preserve">(Purpose of Grant) </w:t>
      </w:r>
      <w:r w:rsidR="00EE56A7">
        <w:t xml:space="preserve">above) which (if capable of remedy) it fails to remedy within thirty (30) days of receiving written notice specifying the breach and requiring such breach to be remedied; </w:t>
      </w:r>
    </w:p>
    <w:p w14:paraId="2287FF05" w14:textId="1486A80F" w:rsidR="00EE56A7" w:rsidRDefault="00EE56A7">
      <w:pPr>
        <w:pStyle w:val="MRheading4"/>
        <w:spacing w:line="240" w:lineRule="auto"/>
      </w:pPr>
      <w:r>
        <w:t xml:space="preserve">the </w:t>
      </w:r>
      <w:r w:rsidR="00632356">
        <w:t>Lead Partner</w:t>
      </w:r>
      <w:r>
        <w:t xml:space="preserve">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w:t>
      </w:r>
    </w:p>
    <w:p w14:paraId="77D47B51" w14:textId="08DB372C" w:rsidR="00992B32" w:rsidRDefault="00EE56A7">
      <w:pPr>
        <w:pStyle w:val="MRheading4"/>
        <w:spacing w:line="240" w:lineRule="auto"/>
      </w:pPr>
      <w:r>
        <w:t xml:space="preserve">the </w:t>
      </w:r>
      <w:r w:rsidR="00632356">
        <w:t>Lead Partner</w:t>
      </w:r>
      <w:r>
        <w:t xml:space="preserve"> suspends or ceases, or threatens to suspend or cease, to carry on all or a substantial part of its business</w:t>
      </w:r>
      <w:r w:rsidR="00992B32">
        <w:t xml:space="preserve">; </w:t>
      </w:r>
    </w:p>
    <w:p w14:paraId="0E6D2641" w14:textId="046921D2" w:rsidR="00992B32" w:rsidRDefault="00992B32">
      <w:pPr>
        <w:pStyle w:val="MRheading4"/>
        <w:spacing w:line="240" w:lineRule="auto"/>
      </w:pPr>
      <w:r>
        <w:t>there is a change of identity or charac</w:t>
      </w:r>
      <w:r w:rsidR="0098686C">
        <w:t>ter of the Downstream Partner (s</w:t>
      </w:r>
      <w:r>
        <w:t xml:space="preserve">uch assessment to be made at THET’s sole discretion), including but not limited to, through a </w:t>
      </w:r>
      <w:r w:rsidR="003E1F75">
        <w:t>takeover</w:t>
      </w:r>
      <w:r>
        <w:t xml:space="preserve">, merger, change of ownership or control; </w:t>
      </w:r>
      <w:r w:rsidR="00F856BA">
        <w:t>or</w:t>
      </w:r>
    </w:p>
    <w:p w14:paraId="3EA6E71D" w14:textId="77777777" w:rsidR="004905D9" w:rsidRDefault="00992B32">
      <w:pPr>
        <w:pStyle w:val="MRheading4"/>
        <w:spacing w:line="240" w:lineRule="auto"/>
      </w:pPr>
      <w:r>
        <w:t>an event occurs which damages or is capable of damaging th</w:t>
      </w:r>
      <w:r w:rsidR="003E1F75">
        <w:t>e reputation or integrity of</w:t>
      </w:r>
      <w:r>
        <w:t xml:space="preserve"> </w:t>
      </w:r>
      <w:r w:rsidR="00B76D2C">
        <w:t>DHSC</w:t>
      </w:r>
      <w:r>
        <w:t>, THET or that of the project to which this Agreement relates</w:t>
      </w:r>
      <w:r w:rsidR="004905D9">
        <w:t>;</w:t>
      </w:r>
    </w:p>
    <w:p w14:paraId="370078FF" w14:textId="21DE46EC" w:rsidR="004905D9" w:rsidRDefault="004905D9">
      <w:pPr>
        <w:pStyle w:val="MRheading4"/>
        <w:spacing w:line="240" w:lineRule="auto"/>
      </w:pPr>
      <w:r>
        <w:t>the Lead Partner is, in the reasonable opinion of THET, delivering the Funded Activities in a negligent manner;</w:t>
      </w:r>
    </w:p>
    <w:p w14:paraId="73FB9DE1" w14:textId="77777777" w:rsidR="004905D9" w:rsidRDefault="004905D9">
      <w:pPr>
        <w:pStyle w:val="MRheading4"/>
        <w:spacing w:line="240" w:lineRule="auto"/>
      </w:pPr>
      <w:r>
        <w:t xml:space="preserve">the Lead Partner obtains duplicate funding from a third party for the Funded Activities without obtaining the prior written consent of THET in accordance with paragraph </w:t>
      </w:r>
      <w:r>
        <w:fldChar w:fldCharType="begin"/>
      </w:r>
      <w:r>
        <w:instrText xml:space="preserve"> REF _Ref146201105 \r \h </w:instrText>
      </w:r>
      <w:r>
        <w:fldChar w:fldCharType="separate"/>
      </w:r>
      <w:r>
        <w:t>1.11</w:t>
      </w:r>
      <w:r>
        <w:fldChar w:fldCharType="end"/>
      </w:r>
      <w:r>
        <w:t>;</w:t>
      </w:r>
    </w:p>
    <w:p w14:paraId="2361F79C" w14:textId="77777777" w:rsidR="004905D9" w:rsidRDefault="004905D9">
      <w:pPr>
        <w:pStyle w:val="MRheading4"/>
        <w:spacing w:line="240" w:lineRule="auto"/>
      </w:pPr>
      <w:r>
        <w:t>the Lead Partner provides THET with any materially misleading or inaccurate information;</w:t>
      </w:r>
    </w:p>
    <w:p w14:paraId="508970FE" w14:textId="32FCD2FD" w:rsidR="007C75C4" w:rsidRDefault="007C75C4" w:rsidP="007C75C4">
      <w:pPr>
        <w:pStyle w:val="MRheading4"/>
        <w:spacing w:line="240" w:lineRule="auto"/>
      </w:pPr>
      <w:r>
        <w:t>THET determines (acting reasonably) that any director or employee of the Lead Partner has:</w:t>
      </w:r>
    </w:p>
    <w:p w14:paraId="43C09D7C" w14:textId="741751B2" w:rsidR="007C75C4" w:rsidRDefault="007C75C4" w:rsidP="007C75C4">
      <w:pPr>
        <w:pStyle w:val="MRheading5"/>
        <w:spacing w:line="240" w:lineRule="auto"/>
        <w:ind w:left="3237"/>
      </w:pPr>
      <w:r>
        <w:t xml:space="preserve">acted dishonestly or negligently at any time during the term of this Agreement and to the detriment of the DHSC or THET; or </w:t>
      </w:r>
    </w:p>
    <w:p w14:paraId="4F667663" w14:textId="553F2DF4" w:rsidR="007C75C4" w:rsidRDefault="007C75C4" w:rsidP="007C75C4">
      <w:pPr>
        <w:pStyle w:val="MRheading5"/>
        <w:spacing w:line="240" w:lineRule="auto"/>
        <w:ind w:left="3237"/>
      </w:pPr>
      <w:r>
        <w:t>taken any actions which unfairly bring or are likely to unfairly bring the DHSC or THET's name or reputation and/or the DHSC or THET into disrepute;</w:t>
      </w:r>
    </w:p>
    <w:p w14:paraId="383D05EE" w14:textId="4B12E44A" w:rsidR="007C75C4" w:rsidRPr="007C75C4" w:rsidRDefault="007C75C4" w:rsidP="007C75C4">
      <w:pPr>
        <w:pStyle w:val="MRheading4"/>
        <w:spacing w:line="240" w:lineRule="auto"/>
      </w:pPr>
      <w:r w:rsidRPr="007C75C4">
        <w:t xml:space="preserve">the </w:t>
      </w:r>
      <w:r>
        <w:t>Lead Partner</w:t>
      </w:r>
      <w:r w:rsidRPr="007C75C4">
        <w:t xml:space="preserve"> transfers, assigns or novates to any third party, or encumbers in any way, the Grant without the </w:t>
      </w:r>
      <w:r>
        <w:t>THET's</w:t>
      </w:r>
      <w:r w:rsidRPr="007C75C4">
        <w:t xml:space="preserve"> consent;</w:t>
      </w:r>
    </w:p>
    <w:p w14:paraId="2E2396FF" w14:textId="48F3670A" w:rsidR="007C75C4" w:rsidRDefault="007C75C4" w:rsidP="007C75C4">
      <w:pPr>
        <w:pStyle w:val="MRheading4"/>
        <w:spacing w:line="240" w:lineRule="auto"/>
        <w:ind w:left="2517"/>
      </w:pPr>
      <w:r w:rsidRPr="007C75C4">
        <w:t>in the event of actual or suspected Financial Impropriety or Aid Diversion</w:t>
      </w:r>
      <w:r>
        <w:t>; and</w:t>
      </w:r>
    </w:p>
    <w:p w14:paraId="564F1ADD" w14:textId="423BC93C" w:rsidR="00EE56A7" w:rsidRDefault="007C75C4" w:rsidP="007C75C4">
      <w:pPr>
        <w:pStyle w:val="MRheading4"/>
        <w:spacing w:line="240" w:lineRule="auto"/>
        <w:ind w:left="2517"/>
      </w:pPr>
      <w:r w:rsidRPr="007C75C4">
        <w:t>in the event of actual or suspected sexual ex</w:t>
      </w:r>
      <w:r>
        <w:t xml:space="preserve">ploitation, abuse or harassment. </w:t>
      </w:r>
    </w:p>
    <w:p w14:paraId="33C66508" w14:textId="49DEE0C9" w:rsidR="00EE56A7" w:rsidRDefault="00EE56A7">
      <w:pPr>
        <w:pStyle w:val="MRheading1"/>
        <w:spacing w:line="240" w:lineRule="auto"/>
      </w:pPr>
      <w:bookmarkStart w:id="57" w:name="_Ref319073718"/>
      <w:bookmarkStart w:id="58" w:name="_Ref125099535"/>
      <w:r>
        <w:lastRenderedPageBreak/>
        <w:t>Termination b</w:t>
      </w:r>
      <w:r w:rsidRPr="00A01190">
        <w:t xml:space="preserve">y </w:t>
      </w:r>
      <w:r>
        <w:t>t</w:t>
      </w:r>
      <w:r w:rsidRPr="00A01190">
        <w:t xml:space="preserve">he </w:t>
      </w:r>
      <w:bookmarkEnd w:id="57"/>
      <w:r w:rsidR="00632356">
        <w:t>Lead Partner</w:t>
      </w:r>
      <w:bookmarkEnd w:id="58"/>
    </w:p>
    <w:p w14:paraId="36F38DDA" w14:textId="773A4D31" w:rsidR="00957F9B" w:rsidRDefault="01A3A62F" w:rsidP="00F856BA">
      <w:pPr>
        <w:pStyle w:val="MRheading2"/>
        <w:numPr>
          <w:ilvl w:val="1"/>
          <w:numId w:val="0"/>
        </w:numPr>
        <w:spacing w:line="240" w:lineRule="auto"/>
        <w:ind w:left="720"/>
      </w:pPr>
      <w:r>
        <w:t xml:space="preserve">The </w:t>
      </w:r>
      <w:r w:rsidR="7D62A095">
        <w:t>Lead Partner</w:t>
      </w:r>
      <w:r>
        <w:t xml:space="preserve"> may withdraw its application for Grant funding and terminate this Agreement at any time by giving not less than thirty (30) days’ written notice to THET stating the reasons for such withdrawal.</w:t>
      </w:r>
      <w:r w:rsidR="2C852A97">
        <w:t xml:space="preserve"> </w:t>
      </w:r>
      <w:bookmarkStart w:id="59" w:name="_Ref319396533"/>
      <w:r>
        <w:t xml:space="preserve">In the event of any such termination the </w:t>
      </w:r>
      <w:r w:rsidR="7D62A095">
        <w:t>Lead Partner</w:t>
      </w:r>
      <w:r>
        <w:t xml:space="preserve"> shall submit </w:t>
      </w:r>
      <w:r w:rsidR="69BC97C5">
        <w:t>for THET’s</w:t>
      </w:r>
      <w:r>
        <w:t xml:space="preserve"> approval an account in writing to THET which shall state the amount spent in the performance of the </w:t>
      </w:r>
      <w:r w:rsidR="4C574C7F">
        <w:t>GHWP</w:t>
      </w:r>
      <w:r>
        <w:t xml:space="preserve"> </w:t>
      </w:r>
      <w:r w:rsidR="2B3BF8C0">
        <w:t xml:space="preserve">project </w:t>
      </w:r>
      <w:r>
        <w:t>to the date of termination and identifying all fees and costs properly incurred or committed by them in relation to this Agreement or its termination which cannot be avoided or recovered.</w:t>
      </w:r>
      <w:bookmarkEnd w:id="59"/>
      <w:r>
        <w:t xml:space="preserve">  </w:t>
      </w:r>
    </w:p>
    <w:p w14:paraId="7411006F" w14:textId="77777777" w:rsidR="00EE56A7" w:rsidRPr="007F10BC" w:rsidRDefault="00EE56A7">
      <w:pPr>
        <w:pStyle w:val="MRheading1"/>
        <w:spacing w:line="240" w:lineRule="auto"/>
        <w:rPr>
          <w:rFonts w:cs="Arial"/>
          <w:szCs w:val="22"/>
        </w:rPr>
      </w:pPr>
      <w:bookmarkStart w:id="60" w:name="_Ref124867455"/>
      <w:r w:rsidRPr="007F10BC">
        <w:rPr>
          <w:rFonts w:cs="Arial"/>
          <w:szCs w:val="22"/>
        </w:rPr>
        <w:t xml:space="preserve">Effect of </w:t>
      </w:r>
      <w:r w:rsidRPr="007F10BC">
        <w:t>Termination</w:t>
      </w:r>
      <w:r>
        <w:t>/Suspension/Expiry</w:t>
      </w:r>
      <w:bookmarkEnd w:id="60"/>
    </w:p>
    <w:p w14:paraId="4B4A9DBB" w14:textId="77777777" w:rsidR="00EE56A7" w:rsidRPr="00431D1A" w:rsidRDefault="00EE56A7">
      <w:pPr>
        <w:pStyle w:val="MRheading2"/>
        <w:spacing w:line="240" w:lineRule="auto"/>
        <w:rPr>
          <w:rFonts w:cs="Arial"/>
          <w:b/>
          <w:szCs w:val="22"/>
        </w:rPr>
      </w:pPr>
      <w:bookmarkStart w:id="61" w:name="_Ref319081440"/>
      <w:r>
        <w:rPr>
          <w:rFonts w:cs="Arial"/>
          <w:szCs w:val="22"/>
        </w:rPr>
        <w:t>Where this Agreement has been terminated</w:t>
      </w:r>
      <w:r w:rsidRPr="007F10BC">
        <w:rPr>
          <w:rFonts w:cs="Arial"/>
          <w:szCs w:val="22"/>
        </w:rPr>
        <w:t xml:space="preserve"> or suspended</w:t>
      </w:r>
      <w:r>
        <w:rPr>
          <w:rFonts w:cs="Arial"/>
          <w:szCs w:val="22"/>
        </w:rPr>
        <w:t>:</w:t>
      </w:r>
      <w:bookmarkEnd w:id="61"/>
    </w:p>
    <w:p w14:paraId="0891EF12" w14:textId="095257AC" w:rsidR="00EE56A7" w:rsidRPr="00BC2F3D" w:rsidRDefault="01A3A62F" w:rsidP="7D6BE9DE">
      <w:pPr>
        <w:pStyle w:val="MRheading3"/>
        <w:spacing w:line="240" w:lineRule="auto"/>
        <w:rPr>
          <w:b/>
          <w:bCs/>
        </w:rPr>
      </w:pPr>
      <w:r>
        <w:t xml:space="preserve">the </w:t>
      </w:r>
      <w:r w:rsidR="7D62A095">
        <w:t>Lead Partner</w:t>
      </w:r>
      <w:r>
        <w:t xml:space="preserve"> shall take </w:t>
      </w:r>
      <w:r w:rsidR="2C852A97">
        <w:t xml:space="preserve">all </w:t>
      </w:r>
      <w:r>
        <w:t xml:space="preserve">such steps as are necessary to terminate or suspend, as appropriate, the </w:t>
      </w:r>
      <w:r w:rsidR="4C574C7F">
        <w:t>GHWP</w:t>
      </w:r>
      <w:r>
        <w:t xml:space="preserve"> </w:t>
      </w:r>
      <w:r w:rsidR="2B3BF8C0">
        <w:t xml:space="preserve">project </w:t>
      </w:r>
      <w:r>
        <w:t xml:space="preserve">in a cost-effective, timely and orderly manner including without limitation: (i) suspending or terminating any contracts entered into pursuant to this Agreement; and (ii) cooperating with, and doing all things as required by, THET in order to </w:t>
      </w:r>
      <w:r w:rsidR="3051A3FC">
        <w:t>e</w:t>
      </w:r>
      <w:r w:rsidR="04FDFE4F">
        <w:t>ffect</w:t>
      </w:r>
      <w:r>
        <w:t xml:space="preserve"> the transfer of the Grant to a third party;</w:t>
      </w:r>
    </w:p>
    <w:p w14:paraId="618D3ABD" w14:textId="7F5E118E" w:rsidR="00EE56A7" w:rsidRPr="00431D1A" w:rsidRDefault="00EE56A7" w:rsidP="0095685B">
      <w:pPr>
        <w:pStyle w:val="MRheading3"/>
        <w:spacing w:line="240" w:lineRule="auto"/>
        <w:rPr>
          <w:b/>
        </w:rPr>
      </w:pPr>
      <w:bookmarkStart w:id="62" w:name="_Ref319396557"/>
      <w:r>
        <w:t xml:space="preserve">the </w:t>
      </w:r>
      <w:r w:rsidR="00632356">
        <w:t>Lead Partner</w:t>
      </w:r>
      <w:r>
        <w:t xml:space="preserve"> shall repay to THET within </w:t>
      </w:r>
      <w:r w:rsidR="001C52D0">
        <w:t xml:space="preserve">ten </w:t>
      </w:r>
      <w:r>
        <w:t>(</w:t>
      </w:r>
      <w:r w:rsidR="009A0C66">
        <w:t>10</w:t>
      </w:r>
      <w:r>
        <w:t xml:space="preserve">) days of the termination </w:t>
      </w:r>
      <w:r w:rsidR="00961EAF">
        <w:t xml:space="preserve">of this Agreement </w:t>
      </w:r>
      <w:r>
        <w:t xml:space="preserve">all Grant monies received from THET under this Agreement which remain unspent at the date of termination less any amount which has been approved by THET pursuant to paragraph </w:t>
      </w:r>
      <w:r w:rsidR="0029416F">
        <w:fldChar w:fldCharType="begin"/>
      </w:r>
      <w:r w:rsidR="0029416F">
        <w:instrText xml:space="preserve"> REF _Ref125099535 \r \h </w:instrText>
      </w:r>
      <w:r w:rsidR="0029416F">
        <w:fldChar w:fldCharType="separate"/>
      </w:r>
      <w:r w:rsidR="006B5F2E">
        <w:t>22</w:t>
      </w:r>
      <w:r w:rsidR="0029416F">
        <w:fldChar w:fldCharType="end"/>
      </w:r>
      <w:r w:rsidR="00AE7950">
        <w:t xml:space="preserve"> (Termination by the Lead Partner)</w:t>
      </w:r>
      <w:r>
        <w:t xml:space="preserve"> in respect of such committed fees and costs;</w:t>
      </w:r>
      <w:bookmarkEnd w:id="62"/>
    </w:p>
    <w:p w14:paraId="02133D28" w14:textId="5A74EB94" w:rsidR="00EE56A7" w:rsidRPr="00431D1A" w:rsidRDefault="00EE56A7">
      <w:pPr>
        <w:pStyle w:val="MRheading3"/>
        <w:spacing w:line="240" w:lineRule="auto"/>
        <w:rPr>
          <w:b/>
        </w:rPr>
      </w:pPr>
      <w:r>
        <w:t>THET shall pay any Grant monies due or outstanding under the terms of this Agreement as at the date of termination or suspension, as appropriate;</w:t>
      </w:r>
      <w:r w:rsidR="00B610DB">
        <w:t xml:space="preserve"> and</w:t>
      </w:r>
    </w:p>
    <w:p w14:paraId="371DC880" w14:textId="0B517971" w:rsidR="00EE56A7" w:rsidRPr="00211551" w:rsidRDefault="00EE56A7">
      <w:pPr>
        <w:pStyle w:val="MRheading3"/>
        <w:spacing w:line="240" w:lineRule="auto"/>
        <w:rPr>
          <w:b/>
        </w:rPr>
      </w:pPr>
      <w:r>
        <w:t xml:space="preserve">THET will reimburse such expenses as are properly incurred under the terms of this Agreement by the </w:t>
      </w:r>
      <w:r w:rsidR="00632356">
        <w:t>Lead Partner</w:t>
      </w:r>
      <w:r>
        <w:t xml:space="preserve"> after the date of suspension or termination, as appropriate, and which cannot be avoided or recovered by the </w:t>
      </w:r>
      <w:r w:rsidR="00632356">
        <w:t>Lead Partner</w:t>
      </w:r>
      <w:r>
        <w:t>.</w:t>
      </w:r>
    </w:p>
    <w:p w14:paraId="53225667" w14:textId="4FACA337" w:rsidR="0079781C" w:rsidRPr="007F10BC" w:rsidRDefault="0079781C" w:rsidP="007700F3">
      <w:pPr>
        <w:pStyle w:val="MRheading2"/>
        <w:spacing w:line="240" w:lineRule="auto"/>
        <w:rPr>
          <w:b/>
        </w:rPr>
      </w:pPr>
      <w:r>
        <w:t xml:space="preserve">The </w:t>
      </w:r>
      <w:r w:rsidR="00632356">
        <w:t>Lead Partner</w:t>
      </w:r>
      <w:r>
        <w:t xml:space="preserve"> shall assist the development and provision of an Exit Plan as required by THET at no additional cost.</w:t>
      </w:r>
    </w:p>
    <w:p w14:paraId="3183E774" w14:textId="75B388DE" w:rsidR="00EE56A7" w:rsidRDefault="00EE56A7">
      <w:pPr>
        <w:pStyle w:val="MRheading2"/>
        <w:spacing w:line="240" w:lineRule="auto"/>
        <w:rPr>
          <w:rFonts w:cs="Arial"/>
          <w:szCs w:val="22"/>
        </w:rPr>
      </w:pPr>
      <w:r w:rsidRPr="00AD5A65">
        <w:t xml:space="preserve">Wherever under the Agreement any sum of money is recoverable from or payable by the </w:t>
      </w:r>
      <w:r w:rsidR="00632356">
        <w:t>Lead Partner</w:t>
      </w:r>
      <w:r w:rsidRPr="00AD5A65">
        <w:t xml:space="preserve"> (including any sum that the </w:t>
      </w:r>
      <w:r w:rsidR="00632356">
        <w:t>Lead Partner</w:t>
      </w:r>
      <w:r w:rsidRPr="00AD5A65">
        <w:t xml:space="preserve"> is liable to </w:t>
      </w:r>
      <w:r w:rsidRPr="007A32F4">
        <w:rPr>
          <w:rFonts w:cs="Arial"/>
          <w:szCs w:val="22"/>
        </w:rPr>
        <w:t xml:space="preserve">pay to </w:t>
      </w:r>
      <w:r w:rsidRPr="00AD5A65">
        <w:rPr>
          <w:rFonts w:cs="Arial"/>
          <w:szCs w:val="22"/>
        </w:rPr>
        <w:t>THET in respect of any breach of the Agreement), THET may unilaterally deduct that sum from any sum then due, or which at any later time may become due</w:t>
      </w:r>
      <w:r w:rsidR="004E4534">
        <w:rPr>
          <w:rFonts w:cs="Arial"/>
          <w:szCs w:val="22"/>
        </w:rPr>
        <w:t>,</w:t>
      </w:r>
      <w:r w:rsidRPr="00AD5A65">
        <w:rPr>
          <w:rFonts w:cs="Arial"/>
          <w:szCs w:val="22"/>
        </w:rPr>
        <w:t xml:space="preserve"> to the </w:t>
      </w:r>
      <w:r w:rsidR="00632356">
        <w:rPr>
          <w:rFonts w:cs="Arial"/>
          <w:szCs w:val="22"/>
        </w:rPr>
        <w:t>Lead Partner</w:t>
      </w:r>
      <w:r w:rsidRPr="00AD5A65">
        <w:rPr>
          <w:rFonts w:cs="Arial"/>
          <w:szCs w:val="22"/>
        </w:rPr>
        <w:t xml:space="preserve"> under the Agreement or under any other agreement or contract with THET. </w:t>
      </w:r>
    </w:p>
    <w:p w14:paraId="2C5328DB" w14:textId="09C83513" w:rsidR="00EE56A7" w:rsidRDefault="01A3A62F" w:rsidP="0095685B">
      <w:pPr>
        <w:pStyle w:val="MRheading2"/>
        <w:spacing w:line="240" w:lineRule="auto"/>
      </w:pPr>
      <w:r>
        <w:t xml:space="preserve">Except for the circumstances contemplated by paragraph </w:t>
      </w:r>
      <w:r w:rsidR="00EE56A7">
        <w:fldChar w:fldCharType="begin"/>
      </w:r>
      <w:r w:rsidR="00EE56A7">
        <w:instrText xml:space="preserve"> REF _Ref319396557 \r \h  \* MERGEFORMAT </w:instrText>
      </w:r>
      <w:r w:rsidR="00EE56A7">
        <w:fldChar w:fldCharType="separate"/>
      </w:r>
      <w:r w:rsidR="006B5F2E">
        <w:t>23.1.2</w:t>
      </w:r>
      <w:r w:rsidR="00EE56A7">
        <w:fldChar w:fldCharType="end"/>
      </w:r>
      <w:r>
        <w:t xml:space="preserve">, the </w:t>
      </w:r>
      <w:r w:rsidR="7D62A095">
        <w:t>Lead Partner</w:t>
      </w:r>
      <w:r>
        <w:t xml:space="preserve"> shall make any payments due to THET without any deduction whether by way of set-off, counterclaim, discount, abatement or otherwise. Should the </w:t>
      </w:r>
      <w:r w:rsidR="7D62A095">
        <w:t>Lead Partner</w:t>
      </w:r>
      <w:r>
        <w:t xml:space="preserve"> be subject to financial or other difficulties which are capable of having a material impact on its effective delivery of the </w:t>
      </w:r>
      <w:r w:rsidR="4C574C7F">
        <w:t>GHW</w:t>
      </w:r>
      <w:r w:rsidR="7886E9DD">
        <w:t xml:space="preserve"> </w:t>
      </w:r>
      <w:r w:rsidR="4C574C7F">
        <w:t>P</w:t>
      </w:r>
      <w:r w:rsidR="40F30463">
        <w:t>rogramme</w:t>
      </w:r>
      <w:r w:rsidR="299337A7">
        <w:t xml:space="preserve"> </w:t>
      </w:r>
      <w:r>
        <w:t xml:space="preserve">or compliance with this Agreement it will notify THET as soon as possible so that, if possible, and without creating any legal </w:t>
      </w:r>
      <w:r>
        <w:lastRenderedPageBreak/>
        <w:t>obligation, THET will have an opportunity to provide assistance in resolving the problem or to take action to protect THET and the Grant monies.</w:t>
      </w:r>
    </w:p>
    <w:p w14:paraId="270D7D47" w14:textId="0C475112" w:rsidR="002D7FB4" w:rsidRDefault="002D7FB4">
      <w:pPr>
        <w:pStyle w:val="MRheading2"/>
        <w:spacing w:line="240" w:lineRule="auto"/>
      </w:pPr>
      <w:r>
        <w:t>THET</w:t>
      </w:r>
      <w:r w:rsidRPr="00211551">
        <w:t xml:space="preserve"> will not be liable to pay any of the </w:t>
      </w:r>
      <w:r w:rsidR="00632356">
        <w:t>Lead Partner</w:t>
      </w:r>
      <w:r>
        <w:t xml:space="preserve">’s </w:t>
      </w:r>
      <w:r w:rsidRPr="00211551">
        <w:t xml:space="preserve">costs or those of any contractor/supplier of the </w:t>
      </w:r>
      <w:r w:rsidR="00632356">
        <w:t>Lead Partner</w:t>
      </w:r>
      <w:r>
        <w:t xml:space="preserve"> (including any other Partners) </w:t>
      </w:r>
      <w:r w:rsidRPr="00211551">
        <w:t xml:space="preserve">related to any transfer or termination of the employment of any employees engaged in the provision of the </w:t>
      </w:r>
      <w:r>
        <w:t xml:space="preserve">provision of the work or services performed by the </w:t>
      </w:r>
      <w:r w:rsidR="00632356">
        <w:t>Lead Partner</w:t>
      </w:r>
      <w:r>
        <w:t xml:space="preserve"> (or such Partners) </w:t>
      </w:r>
      <w:r w:rsidRPr="00211551">
        <w:t>prior to the date of termination</w:t>
      </w:r>
      <w:r>
        <w:t>.</w:t>
      </w:r>
    </w:p>
    <w:p w14:paraId="4E8315C9" w14:textId="4476ECB7" w:rsidR="004E4534" w:rsidRPr="005601E5" w:rsidRDefault="004E4534">
      <w:pPr>
        <w:pStyle w:val="MRheading2"/>
        <w:spacing w:line="240" w:lineRule="auto"/>
      </w:pPr>
      <w:r>
        <w:t xml:space="preserve">For the avoidance of doubt, following the termination of this Agreement for any reason, THET shall have no obligation to pay for any reason any Instalments or Grant monies to the </w:t>
      </w:r>
      <w:r w:rsidR="00632356">
        <w:t>Lead Partner</w:t>
      </w:r>
      <w:r>
        <w:t xml:space="preserve"> which have not, at the date of termination, been paid to the </w:t>
      </w:r>
      <w:r w:rsidR="00632356">
        <w:t>Lead Partner</w:t>
      </w:r>
      <w:r>
        <w:t>.</w:t>
      </w:r>
    </w:p>
    <w:p w14:paraId="0D5319A0" w14:textId="77777777" w:rsidR="00EE56A7" w:rsidRPr="007F10BC" w:rsidRDefault="00EE56A7">
      <w:pPr>
        <w:pStyle w:val="MRheading1"/>
        <w:spacing w:line="240" w:lineRule="auto"/>
        <w:rPr>
          <w:bCs/>
        </w:rPr>
      </w:pPr>
      <w:r w:rsidRPr="007F10BC">
        <w:t>Assignment</w:t>
      </w:r>
      <w:r w:rsidRPr="007F10BC">
        <w:rPr>
          <w:bCs/>
        </w:rPr>
        <w:t>/Subcontracting</w:t>
      </w:r>
    </w:p>
    <w:p w14:paraId="480ACE37" w14:textId="04568B7D" w:rsidR="00EE56A7" w:rsidRDefault="01A3A62F" w:rsidP="7D6BE9DE">
      <w:pPr>
        <w:pStyle w:val="MRheading2"/>
        <w:spacing w:line="240" w:lineRule="auto"/>
        <w:rPr>
          <w:rFonts w:cs="Arial"/>
        </w:rPr>
      </w:pPr>
      <w:r w:rsidRPr="7D6BE9DE">
        <w:rPr>
          <w:rFonts w:cs="Arial"/>
        </w:rPr>
        <w:t xml:space="preserve">With the exception of matters specified and agreed in the </w:t>
      </w:r>
      <w:r w:rsidR="4C574C7F" w:rsidRPr="7D6BE9DE">
        <w:rPr>
          <w:rFonts w:cs="Arial"/>
        </w:rPr>
        <w:t>GHWP</w:t>
      </w:r>
      <w:r w:rsidRPr="7D6BE9DE">
        <w:rPr>
          <w:rFonts w:cs="Arial"/>
        </w:rPr>
        <w:t xml:space="preserve">, the </w:t>
      </w:r>
      <w:r w:rsidR="7D62A095" w:rsidRPr="7D6BE9DE">
        <w:rPr>
          <w:rFonts w:cs="Arial"/>
        </w:rPr>
        <w:t>Lead Partner</w:t>
      </w:r>
      <w:r w:rsidRPr="7D6BE9DE">
        <w:rPr>
          <w:rFonts w:cs="Arial"/>
        </w:rPr>
        <w:t xml:space="preserve"> may not, without the prior written consent of THET, assign, transfer, </w:t>
      </w:r>
      <w:r w:rsidR="65092D15" w:rsidRPr="7D6BE9DE">
        <w:rPr>
          <w:rFonts w:cs="Arial"/>
        </w:rPr>
        <w:t xml:space="preserve">novate, </w:t>
      </w:r>
      <w:r w:rsidRPr="7D6BE9DE">
        <w:rPr>
          <w:rFonts w:cs="Arial"/>
        </w:rPr>
        <w:t xml:space="preserve">sub-contract, or </w:t>
      </w:r>
      <w:r w:rsidR="65092D15" w:rsidRPr="7D6BE9DE">
        <w:rPr>
          <w:rFonts w:cs="Arial"/>
        </w:rPr>
        <w:t xml:space="preserve">deal in any way with all or part of </w:t>
      </w:r>
      <w:r w:rsidRPr="7D6BE9DE">
        <w:rPr>
          <w:rFonts w:cs="Arial"/>
        </w:rPr>
        <w:t xml:space="preserve">the benefit and/or the burden of this Agreement or, except as contemplated as part of the </w:t>
      </w:r>
      <w:r w:rsidR="4C574C7F" w:rsidRPr="7D6BE9DE">
        <w:rPr>
          <w:rFonts w:cs="Arial"/>
        </w:rPr>
        <w:t>GHWP</w:t>
      </w:r>
      <w:r w:rsidRPr="7D6BE9DE">
        <w:rPr>
          <w:rFonts w:cs="Arial"/>
        </w:rPr>
        <w:t xml:space="preserve">, transfer or pay to any other person any part of the Grant. </w:t>
      </w:r>
    </w:p>
    <w:p w14:paraId="6195EB92" w14:textId="67D61C7F" w:rsidR="00EE56A7" w:rsidRPr="00AD5A65" w:rsidRDefault="00EE56A7">
      <w:pPr>
        <w:pStyle w:val="MRheading2"/>
        <w:spacing w:line="240" w:lineRule="auto"/>
        <w:rPr>
          <w:rFonts w:cs="Arial"/>
          <w:szCs w:val="22"/>
        </w:rPr>
      </w:pPr>
      <w:r>
        <w:rPr>
          <w:rFonts w:cs="Arial"/>
          <w:szCs w:val="22"/>
        </w:rPr>
        <w:t xml:space="preserve">THET shall be entitled to assign the benefit of this Agreement without the consent of the </w:t>
      </w:r>
      <w:r w:rsidR="00632356">
        <w:rPr>
          <w:rFonts w:cs="Arial"/>
          <w:szCs w:val="22"/>
        </w:rPr>
        <w:t>Lead Partner</w:t>
      </w:r>
      <w:r>
        <w:rPr>
          <w:rFonts w:cs="Arial"/>
          <w:szCs w:val="22"/>
        </w:rPr>
        <w:t>.</w:t>
      </w:r>
    </w:p>
    <w:p w14:paraId="4F7B26D7" w14:textId="77777777" w:rsidR="00EE56A7" w:rsidRPr="007F10BC" w:rsidRDefault="00EE56A7">
      <w:pPr>
        <w:pStyle w:val="MRheading1"/>
        <w:spacing w:line="240" w:lineRule="auto"/>
      </w:pPr>
      <w:r>
        <w:t>Waiver a</w:t>
      </w:r>
      <w:r w:rsidRPr="007F10BC">
        <w:t>nd Variation</w:t>
      </w:r>
    </w:p>
    <w:p w14:paraId="428DE809" w14:textId="77777777" w:rsidR="00EE56A7" w:rsidRDefault="00EE56A7">
      <w:pPr>
        <w:pStyle w:val="MRheading2"/>
        <w:spacing w:line="240" w:lineRule="auto"/>
        <w:rPr>
          <w:rFonts w:cs="Arial"/>
          <w:szCs w:val="22"/>
        </w:rPr>
      </w:pPr>
      <w:r w:rsidRPr="00AD5A65">
        <w:rPr>
          <w:rFonts w:cs="Arial"/>
          <w:szCs w:val="22"/>
        </w:rPr>
        <w:t xml:space="preserve">No failure or delay by either party to exercise any right or remedy under this Agreement shall be construed as a waiver of any other </w:t>
      </w:r>
      <w:r>
        <w:rPr>
          <w:rFonts w:cs="Arial"/>
          <w:szCs w:val="22"/>
        </w:rPr>
        <w:t>right</w:t>
      </w:r>
      <w:r w:rsidRPr="00AD5A65">
        <w:rPr>
          <w:rFonts w:cs="Arial"/>
          <w:szCs w:val="22"/>
        </w:rPr>
        <w:t xml:space="preserve"> or remedy. </w:t>
      </w:r>
    </w:p>
    <w:p w14:paraId="590B8A9E" w14:textId="48CA3DAA" w:rsidR="00EE56A7" w:rsidRDefault="00922191">
      <w:pPr>
        <w:pStyle w:val="MRheading2"/>
        <w:spacing w:line="240" w:lineRule="auto"/>
        <w:rPr>
          <w:rFonts w:cs="Arial"/>
          <w:szCs w:val="22"/>
        </w:rPr>
      </w:pPr>
      <w:bookmarkStart w:id="63" w:name="_Ref124835043"/>
      <w:r>
        <w:rPr>
          <w:rFonts w:cs="Arial"/>
          <w:szCs w:val="22"/>
        </w:rPr>
        <w:t>THET may</w:t>
      </w:r>
      <w:r w:rsidR="00560DD3" w:rsidRPr="00560DD3">
        <w:t xml:space="preserve"> </w:t>
      </w:r>
      <w:r w:rsidR="00560DD3" w:rsidRPr="00560DD3">
        <w:rPr>
          <w:rFonts w:cs="Arial"/>
          <w:szCs w:val="22"/>
        </w:rPr>
        <w:t xml:space="preserve">at its entire discretion vary the Grant as a result of changes to </w:t>
      </w:r>
      <w:r w:rsidR="004A1503">
        <w:rPr>
          <w:rFonts w:cs="Arial"/>
          <w:szCs w:val="22"/>
        </w:rPr>
        <w:t>activities</w:t>
      </w:r>
      <w:r w:rsidR="00560DD3">
        <w:rPr>
          <w:rFonts w:cs="Arial"/>
          <w:szCs w:val="22"/>
        </w:rPr>
        <w:t xml:space="preserve"> funded by this </w:t>
      </w:r>
      <w:r w:rsidR="0035775F">
        <w:rPr>
          <w:rFonts w:cs="Arial"/>
          <w:szCs w:val="22"/>
        </w:rPr>
        <w:t xml:space="preserve">Grant </w:t>
      </w:r>
      <w:r w:rsidR="00560DD3" w:rsidRPr="00560DD3">
        <w:rPr>
          <w:rFonts w:cs="Arial"/>
          <w:szCs w:val="22"/>
        </w:rPr>
        <w:t xml:space="preserve">or for any other reason. Any variation made under this </w:t>
      </w:r>
      <w:r w:rsidR="0035775F">
        <w:rPr>
          <w:rFonts w:cs="Arial"/>
          <w:szCs w:val="22"/>
        </w:rPr>
        <w:t>paragraph</w:t>
      </w:r>
      <w:r w:rsidR="0035775F" w:rsidRPr="00560DD3">
        <w:rPr>
          <w:rFonts w:cs="Arial"/>
          <w:szCs w:val="22"/>
        </w:rPr>
        <w:t xml:space="preserve"> </w:t>
      </w:r>
      <w:r w:rsidR="0035775F">
        <w:rPr>
          <w:rFonts w:cs="Arial"/>
          <w:szCs w:val="22"/>
        </w:rPr>
        <w:fldChar w:fldCharType="begin"/>
      </w:r>
      <w:r w:rsidR="0035775F">
        <w:rPr>
          <w:rFonts w:cs="Arial"/>
          <w:szCs w:val="22"/>
        </w:rPr>
        <w:instrText xml:space="preserve"> REF _Ref124835043 \n \h </w:instrText>
      </w:r>
      <w:r w:rsidR="0035775F">
        <w:rPr>
          <w:rFonts w:cs="Arial"/>
          <w:szCs w:val="22"/>
        </w:rPr>
      </w:r>
      <w:r w:rsidR="0035775F">
        <w:rPr>
          <w:rFonts w:cs="Arial"/>
          <w:szCs w:val="22"/>
        </w:rPr>
        <w:fldChar w:fldCharType="separate"/>
      </w:r>
      <w:r w:rsidR="006B5F2E">
        <w:rPr>
          <w:rFonts w:cs="Arial"/>
          <w:szCs w:val="22"/>
        </w:rPr>
        <w:t>25.2</w:t>
      </w:r>
      <w:r w:rsidR="0035775F">
        <w:rPr>
          <w:rFonts w:cs="Arial"/>
          <w:szCs w:val="22"/>
        </w:rPr>
        <w:fldChar w:fldCharType="end"/>
      </w:r>
      <w:r w:rsidR="00961EAF">
        <w:rPr>
          <w:rFonts w:cs="Arial"/>
          <w:szCs w:val="22"/>
        </w:rPr>
        <w:t xml:space="preserve"> </w:t>
      </w:r>
      <w:r w:rsidR="00560DD3" w:rsidRPr="00560DD3">
        <w:rPr>
          <w:rFonts w:cs="Arial"/>
          <w:szCs w:val="22"/>
        </w:rPr>
        <w:t xml:space="preserve">will not take effect until notified </w:t>
      </w:r>
      <w:r w:rsidR="00560DD3">
        <w:rPr>
          <w:rFonts w:cs="Arial"/>
          <w:szCs w:val="22"/>
        </w:rPr>
        <w:t xml:space="preserve">by THET </w:t>
      </w:r>
      <w:r w:rsidR="00560DD3" w:rsidRPr="00560DD3">
        <w:rPr>
          <w:rFonts w:cs="Arial"/>
          <w:szCs w:val="22"/>
        </w:rPr>
        <w:t xml:space="preserve">to the </w:t>
      </w:r>
      <w:r w:rsidR="00560DD3">
        <w:rPr>
          <w:rFonts w:cs="Arial"/>
          <w:szCs w:val="22"/>
        </w:rPr>
        <w:t>Lead Partner</w:t>
      </w:r>
      <w:r w:rsidR="00560DD3" w:rsidRPr="00560DD3">
        <w:rPr>
          <w:rFonts w:cs="Arial"/>
          <w:szCs w:val="22"/>
        </w:rPr>
        <w:t xml:space="preserve"> in writing and wherever practicable the </w:t>
      </w:r>
      <w:r w:rsidR="00560DD3">
        <w:rPr>
          <w:rFonts w:cs="Arial"/>
          <w:szCs w:val="22"/>
        </w:rPr>
        <w:t>THET</w:t>
      </w:r>
      <w:r w:rsidR="00560DD3" w:rsidRPr="00560DD3">
        <w:rPr>
          <w:rFonts w:cs="Arial"/>
          <w:szCs w:val="22"/>
        </w:rPr>
        <w:t xml:space="preserve"> shall give a minimum of </w:t>
      </w:r>
      <w:r w:rsidR="00C97EC3">
        <w:rPr>
          <w:rFonts w:cs="Arial"/>
          <w:szCs w:val="22"/>
        </w:rPr>
        <w:t>twenty-five (</w:t>
      </w:r>
      <w:r w:rsidR="00A53097">
        <w:rPr>
          <w:rFonts w:cs="Arial"/>
          <w:szCs w:val="22"/>
        </w:rPr>
        <w:t>25</w:t>
      </w:r>
      <w:r w:rsidR="00C97EC3">
        <w:rPr>
          <w:rFonts w:cs="Arial"/>
          <w:szCs w:val="22"/>
        </w:rPr>
        <w:t>)</w:t>
      </w:r>
      <w:r w:rsidR="00A53097" w:rsidRPr="00560DD3">
        <w:rPr>
          <w:rFonts w:cs="Arial"/>
          <w:szCs w:val="22"/>
        </w:rPr>
        <w:t xml:space="preserve"> </w:t>
      </w:r>
      <w:r w:rsidR="00560DD3" w:rsidRPr="00560DD3">
        <w:rPr>
          <w:rFonts w:cs="Arial"/>
          <w:szCs w:val="22"/>
        </w:rPr>
        <w:t>days’ written notice before any such variation takes effect.</w:t>
      </w:r>
      <w:bookmarkEnd w:id="63"/>
    </w:p>
    <w:p w14:paraId="04086728" w14:textId="45EDF728" w:rsidR="004E7045" w:rsidRPr="007F10BC" w:rsidRDefault="004E7045">
      <w:pPr>
        <w:pStyle w:val="MRheading2"/>
        <w:spacing w:line="240" w:lineRule="auto"/>
        <w:rPr>
          <w:rFonts w:cs="Arial"/>
          <w:szCs w:val="22"/>
        </w:rPr>
      </w:pPr>
      <w:r>
        <w:rPr>
          <w:rFonts w:cs="Arial"/>
          <w:szCs w:val="22"/>
        </w:rPr>
        <w:t xml:space="preserve">Subject to paragraph </w:t>
      </w:r>
      <w:r>
        <w:rPr>
          <w:rFonts w:cs="Arial"/>
          <w:szCs w:val="22"/>
        </w:rPr>
        <w:fldChar w:fldCharType="begin"/>
      </w:r>
      <w:r>
        <w:rPr>
          <w:rFonts w:cs="Arial"/>
          <w:szCs w:val="22"/>
        </w:rPr>
        <w:instrText xml:space="preserve"> REF _Ref124835043 \r \h </w:instrText>
      </w:r>
      <w:r>
        <w:rPr>
          <w:rFonts w:cs="Arial"/>
          <w:szCs w:val="22"/>
        </w:rPr>
      </w:r>
      <w:r>
        <w:rPr>
          <w:rFonts w:cs="Arial"/>
          <w:szCs w:val="22"/>
        </w:rPr>
        <w:fldChar w:fldCharType="separate"/>
      </w:r>
      <w:r w:rsidR="006B5F2E">
        <w:rPr>
          <w:rFonts w:cs="Arial"/>
          <w:szCs w:val="22"/>
        </w:rPr>
        <w:t>25.2</w:t>
      </w:r>
      <w:r>
        <w:rPr>
          <w:rFonts w:cs="Arial"/>
          <w:szCs w:val="22"/>
        </w:rPr>
        <w:fldChar w:fldCharType="end"/>
      </w:r>
      <w:r>
        <w:rPr>
          <w:rFonts w:cs="Arial"/>
          <w:szCs w:val="22"/>
        </w:rPr>
        <w:t xml:space="preserve"> above, </w:t>
      </w:r>
      <w:r w:rsidR="00ED567E">
        <w:rPr>
          <w:rFonts w:cs="Arial"/>
          <w:szCs w:val="22"/>
        </w:rPr>
        <w:t xml:space="preserve">this Agreement or any part of it may only be amended </w:t>
      </w:r>
      <w:r w:rsidR="00844062">
        <w:rPr>
          <w:rFonts w:cs="Arial"/>
          <w:szCs w:val="22"/>
        </w:rPr>
        <w:t xml:space="preserve">by advance agreement in writing between the Parties. </w:t>
      </w:r>
    </w:p>
    <w:p w14:paraId="2AD1B813" w14:textId="77777777" w:rsidR="00EE56A7" w:rsidRPr="00654FBD" w:rsidRDefault="00EE56A7">
      <w:pPr>
        <w:pStyle w:val="MRheading1"/>
        <w:spacing w:line="240" w:lineRule="auto"/>
        <w:rPr>
          <w:b w:val="0"/>
          <w:bCs/>
        </w:rPr>
      </w:pPr>
      <w:bookmarkStart w:id="64" w:name="_Ref125099639"/>
      <w:r w:rsidRPr="007F10BC">
        <w:t>Notices</w:t>
      </w:r>
      <w:bookmarkEnd w:id="64"/>
    </w:p>
    <w:p w14:paraId="4A8F813A" w14:textId="1E046BE0" w:rsidR="00EE56A7" w:rsidRDefault="00EE56A7">
      <w:pPr>
        <w:pStyle w:val="MRheading2"/>
        <w:spacing w:line="240" w:lineRule="auto"/>
        <w:rPr>
          <w:rFonts w:cs="Arial"/>
          <w:szCs w:val="22"/>
        </w:rPr>
      </w:pPr>
      <w:r w:rsidRPr="00AD5A65">
        <w:rPr>
          <w:rFonts w:cs="Arial"/>
          <w:szCs w:val="22"/>
        </w:rPr>
        <w:t xml:space="preserve">All notices and other </w:t>
      </w:r>
      <w:r>
        <w:rPr>
          <w:rFonts w:cs="Arial"/>
          <w:szCs w:val="22"/>
        </w:rPr>
        <w:t>communications</w:t>
      </w:r>
      <w:r w:rsidRPr="00AD5A65">
        <w:rPr>
          <w:rFonts w:cs="Arial"/>
          <w:szCs w:val="22"/>
        </w:rPr>
        <w:t xml:space="preserve"> in </w:t>
      </w:r>
      <w:r>
        <w:rPr>
          <w:rFonts w:cs="Arial"/>
          <w:szCs w:val="22"/>
        </w:rPr>
        <w:t>r</w:t>
      </w:r>
      <w:r w:rsidRPr="00AD5A65">
        <w:rPr>
          <w:rFonts w:cs="Arial"/>
          <w:szCs w:val="22"/>
        </w:rPr>
        <w:t xml:space="preserve">elation to </w:t>
      </w:r>
      <w:r>
        <w:rPr>
          <w:rFonts w:cs="Arial"/>
          <w:szCs w:val="22"/>
        </w:rPr>
        <w:t>this</w:t>
      </w:r>
      <w:r w:rsidRPr="00AD5A65">
        <w:rPr>
          <w:rFonts w:cs="Arial"/>
          <w:szCs w:val="22"/>
        </w:rPr>
        <w:t xml:space="preserve"> Agreement shall be in writing and shall be deemed to have been duly given if personally </w:t>
      </w:r>
      <w:r w:rsidR="004A1503" w:rsidRPr="00AD5A65">
        <w:rPr>
          <w:rFonts w:cs="Arial"/>
          <w:szCs w:val="22"/>
        </w:rPr>
        <w:t>delivered</w:t>
      </w:r>
      <w:r w:rsidR="007C3F37">
        <w:rPr>
          <w:rFonts w:cs="Arial"/>
          <w:szCs w:val="22"/>
        </w:rPr>
        <w:t>,</w:t>
      </w:r>
      <w:r w:rsidR="004A1503" w:rsidRPr="00AD5A65">
        <w:rPr>
          <w:rFonts w:cs="Arial"/>
          <w:szCs w:val="22"/>
        </w:rPr>
        <w:t xml:space="preserve"> </w:t>
      </w:r>
      <w:r w:rsidRPr="00AD5A65">
        <w:rPr>
          <w:rFonts w:cs="Arial"/>
          <w:szCs w:val="22"/>
        </w:rPr>
        <w:t>mailed (f</w:t>
      </w:r>
      <w:r>
        <w:rPr>
          <w:rFonts w:cs="Arial"/>
          <w:szCs w:val="22"/>
        </w:rPr>
        <w:t>ir</w:t>
      </w:r>
      <w:r w:rsidRPr="00AD5A65">
        <w:rPr>
          <w:rFonts w:cs="Arial"/>
          <w:szCs w:val="22"/>
        </w:rPr>
        <w:t xml:space="preserve">st class postage prepaid) </w:t>
      </w:r>
      <w:r w:rsidR="00A91B88">
        <w:rPr>
          <w:rFonts w:cs="Arial"/>
          <w:szCs w:val="22"/>
        </w:rPr>
        <w:t xml:space="preserve">or </w:t>
      </w:r>
      <w:r w:rsidR="009804DD">
        <w:rPr>
          <w:rFonts w:cs="Arial"/>
          <w:szCs w:val="22"/>
        </w:rPr>
        <w:t>if</w:t>
      </w:r>
      <w:r w:rsidR="00645381">
        <w:rPr>
          <w:rFonts w:cs="Arial"/>
          <w:szCs w:val="22"/>
        </w:rPr>
        <w:t xml:space="preserve"> </w:t>
      </w:r>
      <w:r w:rsidR="00A91B88">
        <w:rPr>
          <w:rFonts w:cs="Arial"/>
          <w:szCs w:val="22"/>
        </w:rPr>
        <w:t xml:space="preserve">sent via electronic mail </w:t>
      </w:r>
      <w:r w:rsidRPr="00AD5A65">
        <w:rPr>
          <w:rFonts w:cs="Arial"/>
          <w:szCs w:val="22"/>
        </w:rPr>
        <w:t xml:space="preserve">to the address of the relevant </w:t>
      </w:r>
      <w:r w:rsidR="00401699">
        <w:rPr>
          <w:rFonts w:cs="Arial"/>
          <w:szCs w:val="22"/>
        </w:rPr>
        <w:t>P</w:t>
      </w:r>
      <w:r w:rsidRPr="00AD5A65">
        <w:rPr>
          <w:rFonts w:cs="Arial"/>
          <w:szCs w:val="22"/>
        </w:rPr>
        <w:t>arty</w:t>
      </w:r>
      <w:r w:rsidR="00996185">
        <w:rPr>
          <w:rFonts w:cs="Arial"/>
          <w:szCs w:val="22"/>
        </w:rPr>
        <w:t xml:space="preserve"> </w:t>
      </w:r>
      <w:r w:rsidR="00645381">
        <w:rPr>
          <w:rFonts w:cs="Arial"/>
          <w:szCs w:val="22"/>
        </w:rPr>
        <w:t>(</w:t>
      </w:r>
      <w:r w:rsidRPr="00AD5A65">
        <w:rPr>
          <w:rFonts w:cs="Arial"/>
          <w:szCs w:val="22"/>
        </w:rPr>
        <w:t xml:space="preserve">as referred to </w:t>
      </w:r>
      <w:r w:rsidR="00401699">
        <w:rPr>
          <w:rFonts w:cs="Arial"/>
          <w:szCs w:val="22"/>
        </w:rPr>
        <w:t xml:space="preserve">in paragraph </w:t>
      </w:r>
      <w:r w:rsidR="00BE4FA8">
        <w:rPr>
          <w:rFonts w:cs="Arial"/>
          <w:szCs w:val="22"/>
        </w:rPr>
        <w:fldChar w:fldCharType="begin"/>
      </w:r>
      <w:r w:rsidR="00BE4FA8">
        <w:rPr>
          <w:rFonts w:cs="Arial"/>
          <w:szCs w:val="22"/>
        </w:rPr>
        <w:instrText xml:space="preserve"> REF _Ref124875788 \r \h </w:instrText>
      </w:r>
      <w:r w:rsidR="00BE4FA8">
        <w:rPr>
          <w:rFonts w:cs="Arial"/>
          <w:szCs w:val="22"/>
        </w:rPr>
      </w:r>
      <w:r w:rsidR="00BE4FA8">
        <w:rPr>
          <w:rFonts w:cs="Arial"/>
          <w:szCs w:val="22"/>
        </w:rPr>
        <w:fldChar w:fldCharType="separate"/>
      </w:r>
      <w:r w:rsidR="006B5F2E">
        <w:rPr>
          <w:rFonts w:cs="Arial"/>
          <w:szCs w:val="22"/>
        </w:rPr>
        <w:t>26.2</w:t>
      </w:r>
      <w:r w:rsidR="00BE4FA8">
        <w:rPr>
          <w:rFonts w:cs="Arial"/>
          <w:szCs w:val="22"/>
        </w:rPr>
        <w:fldChar w:fldCharType="end"/>
      </w:r>
      <w:r w:rsidR="00BE4FA8">
        <w:rPr>
          <w:rFonts w:cs="Arial"/>
          <w:szCs w:val="22"/>
        </w:rPr>
        <w:t xml:space="preserve"> </w:t>
      </w:r>
      <w:r w:rsidR="00401699">
        <w:rPr>
          <w:rFonts w:cs="Arial"/>
          <w:szCs w:val="22"/>
        </w:rPr>
        <w:t>below</w:t>
      </w:r>
      <w:r w:rsidR="00645381">
        <w:rPr>
          <w:rFonts w:cs="Arial"/>
          <w:szCs w:val="22"/>
        </w:rPr>
        <w:t>)</w:t>
      </w:r>
      <w:r>
        <w:rPr>
          <w:rFonts w:cs="Arial"/>
          <w:szCs w:val="22"/>
        </w:rPr>
        <w:t>. If personally delivered</w:t>
      </w:r>
      <w:r w:rsidRPr="00AD5A65">
        <w:rPr>
          <w:rFonts w:cs="Arial"/>
          <w:szCs w:val="22"/>
        </w:rPr>
        <w:t xml:space="preserve"> </w:t>
      </w:r>
      <w:r w:rsidR="00D47F99">
        <w:rPr>
          <w:rFonts w:cs="Arial"/>
          <w:szCs w:val="22"/>
        </w:rPr>
        <w:t>or sent via electronic ma</w:t>
      </w:r>
      <w:r w:rsidR="00D707EB">
        <w:rPr>
          <w:rFonts w:cs="Arial"/>
          <w:szCs w:val="22"/>
        </w:rPr>
        <w:t>i</w:t>
      </w:r>
      <w:r w:rsidR="00D47F99">
        <w:rPr>
          <w:rFonts w:cs="Arial"/>
          <w:szCs w:val="22"/>
        </w:rPr>
        <w:t xml:space="preserve">l </w:t>
      </w:r>
      <w:r w:rsidRPr="00AD5A65">
        <w:rPr>
          <w:rFonts w:cs="Arial"/>
          <w:szCs w:val="22"/>
        </w:rPr>
        <w:t xml:space="preserve">all such </w:t>
      </w:r>
      <w:r>
        <w:rPr>
          <w:rFonts w:cs="Arial"/>
          <w:szCs w:val="22"/>
        </w:rPr>
        <w:t>communi</w:t>
      </w:r>
      <w:r w:rsidRPr="00AD5A65">
        <w:rPr>
          <w:rFonts w:cs="Arial"/>
          <w:szCs w:val="22"/>
        </w:rPr>
        <w:t xml:space="preserve">cations shall be deemed to have been given when </w:t>
      </w:r>
      <w:r w:rsidR="00A91B88">
        <w:rPr>
          <w:rFonts w:cs="Arial"/>
          <w:szCs w:val="22"/>
        </w:rPr>
        <w:t xml:space="preserve">actually </w:t>
      </w:r>
      <w:r w:rsidRPr="00AD5A65">
        <w:rPr>
          <w:rFonts w:cs="Arial"/>
          <w:szCs w:val="22"/>
        </w:rPr>
        <w:t xml:space="preserve">received (except that if </w:t>
      </w:r>
      <w:r>
        <w:rPr>
          <w:rFonts w:cs="Arial"/>
          <w:szCs w:val="22"/>
        </w:rPr>
        <w:t>r</w:t>
      </w:r>
      <w:r w:rsidRPr="00AD5A65">
        <w:rPr>
          <w:rFonts w:cs="Arial"/>
          <w:szCs w:val="22"/>
        </w:rPr>
        <w:t>eceived on a non-</w:t>
      </w:r>
      <w:r w:rsidR="00D47F99">
        <w:rPr>
          <w:rFonts w:cs="Arial"/>
          <w:szCs w:val="22"/>
        </w:rPr>
        <w:t>W</w:t>
      </w:r>
      <w:r w:rsidRPr="00AD5A65">
        <w:rPr>
          <w:rFonts w:cs="Arial"/>
          <w:szCs w:val="22"/>
        </w:rPr>
        <w:t xml:space="preserve">orking </w:t>
      </w:r>
      <w:r w:rsidR="00D47F99">
        <w:rPr>
          <w:rFonts w:cs="Arial"/>
          <w:szCs w:val="22"/>
        </w:rPr>
        <w:t>D</w:t>
      </w:r>
      <w:r w:rsidRPr="00AD5A65">
        <w:rPr>
          <w:rFonts w:cs="Arial"/>
          <w:szCs w:val="22"/>
        </w:rPr>
        <w:t xml:space="preserve">ay or after 5.00 pm on any </w:t>
      </w:r>
      <w:r w:rsidR="00D47F99">
        <w:rPr>
          <w:rFonts w:cs="Arial"/>
          <w:szCs w:val="22"/>
        </w:rPr>
        <w:t>W</w:t>
      </w:r>
      <w:r>
        <w:rPr>
          <w:rFonts w:cs="Arial"/>
          <w:szCs w:val="22"/>
        </w:rPr>
        <w:t>orking</w:t>
      </w:r>
      <w:r w:rsidRPr="00AD5A65">
        <w:rPr>
          <w:rFonts w:cs="Arial"/>
          <w:szCs w:val="22"/>
        </w:rPr>
        <w:t xml:space="preserve"> </w:t>
      </w:r>
      <w:r w:rsidR="00D47F99">
        <w:rPr>
          <w:rFonts w:cs="Arial"/>
          <w:szCs w:val="22"/>
        </w:rPr>
        <w:t>D</w:t>
      </w:r>
      <w:r w:rsidR="004A1503" w:rsidRPr="00AD5A65">
        <w:rPr>
          <w:rFonts w:cs="Arial"/>
          <w:szCs w:val="22"/>
        </w:rPr>
        <w:t>ay,</w:t>
      </w:r>
      <w:r w:rsidRPr="00AD5A65">
        <w:rPr>
          <w:rFonts w:cs="Arial"/>
          <w:szCs w:val="22"/>
        </w:rPr>
        <w:t xml:space="preserve"> they shall be deemed received on the next </w:t>
      </w:r>
      <w:r w:rsidR="00D47F99">
        <w:rPr>
          <w:rFonts w:cs="Arial"/>
          <w:szCs w:val="22"/>
        </w:rPr>
        <w:t>W</w:t>
      </w:r>
      <w:r w:rsidRPr="00AD5A65">
        <w:rPr>
          <w:rFonts w:cs="Arial"/>
          <w:szCs w:val="22"/>
        </w:rPr>
        <w:t xml:space="preserve">orking </w:t>
      </w:r>
      <w:r w:rsidR="00D47F99">
        <w:rPr>
          <w:rFonts w:cs="Arial"/>
          <w:szCs w:val="22"/>
        </w:rPr>
        <w:t>D</w:t>
      </w:r>
      <w:r w:rsidRPr="00AD5A65">
        <w:rPr>
          <w:rFonts w:cs="Arial"/>
          <w:szCs w:val="22"/>
        </w:rPr>
        <w:t>ay)</w:t>
      </w:r>
      <w:r w:rsidR="00D47F99">
        <w:rPr>
          <w:rFonts w:cs="Arial"/>
          <w:szCs w:val="22"/>
        </w:rPr>
        <w:t>,</w:t>
      </w:r>
      <w:r w:rsidRPr="00AD5A65">
        <w:rPr>
          <w:rFonts w:cs="Arial"/>
          <w:szCs w:val="22"/>
        </w:rPr>
        <w:t xml:space="preserve"> if mailed all such </w:t>
      </w:r>
      <w:r>
        <w:rPr>
          <w:rFonts w:cs="Arial"/>
          <w:szCs w:val="22"/>
        </w:rPr>
        <w:t>communications</w:t>
      </w:r>
      <w:r w:rsidRPr="00AD5A65">
        <w:rPr>
          <w:rFonts w:cs="Arial"/>
          <w:szCs w:val="22"/>
        </w:rPr>
        <w:t xml:space="preserve"> </w:t>
      </w:r>
      <w:r>
        <w:rPr>
          <w:rFonts w:cs="Arial"/>
          <w:szCs w:val="22"/>
        </w:rPr>
        <w:t>s</w:t>
      </w:r>
      <w:r w:rsidRPr="00AD5A65">
        <w:rPr>
          <w:rFonts w:cs="Arial"/>
          <w:szCs w:val="22"/>
        </w:rPr>
        <w:t xml:space="preserve">hall be deemed to have been given and received on the second </w:t>
      </w:r>
      <w:r w:rsidR="00D47F99">
        <w:rPr>
          <w:rFonts w:cs="Arial"/>
          <w:szCs w:val="22"/>
        </w:rPr>
        <w:t>W</w:t>
      </w:r>
      <w:r w:rsidRPr="00AD5A65">
        <w:rPr>
          <w:rFonts w:cs="Arial"/>
          <w:szCs w:val="22"/>
        </w:rPr>
        <w:t xml:space="preserve">orking </w:t>
      </w:r>
      <w:r w:rsidR="00D47F99">
        <w:rPr>
          <w:rFonts w:cs="Arial"/>
          <w:szCs w:val="22"/>
        </w:rPr>
        <w:t>D</w:t>
      </w:r>
      <w:r w:rsidRPr="00AD5A65">
        <w:rPr>
          <w:rFonts w:cs="Arial"/>
          <w:szCs w:val="22"/>
        </w:rPr>
        <w:t xml:space="preserve">ay following such mailing. </w:t>
      </w:r>
    </w:p>
    <w:p w14:paraId="2B63593D" w14:textId="4355D845" w:rsidR="004D7B99" w:rsidRDefault="008E001D" w:rsidP="007700F3">
      <w:pPr>
        <w:pStyle w:val="MRheading2"/>
        <w:spacing w:line="240" w:lineRule="auto"/>
        <w:rPr>
          <w:rFonts w:cs="Arial"/>
          <w:szCs w:val="22"/>
        </w:rPr>
      </w:pPr>
      <w:bookmarkStart w:id="65" w:name="_Ref124875788"/>
      <w:r>
        <w:rPr>
          <w:rFonts w:cs="Arial"/>
          <w:szCs w:val="22"/>
        </w:rPr>
        <w:lastRenderedPageBreak/>
        <w:t xml:space="preserve">All notices pursuant to this Agreement shall be sent to the other Party at the address shown below, or such other address as </w:t>
      </w:r>
      <w:r w:rsidR="00F12FC8">
        <w:rPr>
          <w:rFonts w:cs="Arial"/>
          <w:szCs w:val="22"/>
        </w:rPr>
        <w:t>notified</w:t>
      </w:r>
      <w:r w:rsidR="007C55A9">
        <w:rPr>
          <w:rFonts w:cs="Arial"/>
          <w:szCs w:val="22"/>
        </w:rPr>
        <w:t xml:space="preserve"> to the other Party in writing</w:t>
      </w:r>
      <w:r w:rsidR="004D7B99">
        <w:rPr>
          <w:rFonts w:cs="Arial"/>
          <w:szCs w:val="22"/>
        </w:rPr>
        <w:t>:</w:t>
      </w:r>
      <w:bookmarkEnd w:id="65"/>
    </w:p>
    <w:p w14:paraId="2CD68808" w14:textId="33EDCF7B" w:rsidR="000F6E52" w:rsidRDefault="000F6E52" w:rsidP="000F6E52">
      <w:pPr>
        <w:pStyle w:val="MRheading3"/>
        <w:numPr>
          <w:ilvl w:val="0"/>
          <w:numId w:val="0"/>
        </w:numPr>
        <w:spacing w:line="240" w:lineRule="auto"/>
        <w:ind w:firstLine="720"/>
      </w:pPr>
      <w:r>
        <w:t>in respect of the Lead Partner: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86"/>
      </w:tblGrid>
      <w:tr w:rsidR="0042090A" w14:paraId="02990853" w14:textId="77777777" w:rsidTr="007700F3">
        <w:tc>
          <w:tcPr>
            <w:tcW w:w="2972" w:type="dxa"/>
          </w:tcPr>
          <w:p w14:paraId="50691539" w14:textId="53548533" w:rsidR="0042090A" w:rsidRDefault="00DB5BE9" w:rsidP="007700F3">
            <w:pPr>
              <w:pStyle w:val="MRheading3"/>
              <w:numPr>
                <w:ilvl w:val="0"/>
                <w:numId w:val="0"/>
              </w:numPr>
              <w:spacing w:line="240" w:lineRule="auto"/>
              <w:ind w:left="1588"/>
            </w:pPr>
            <w:r>
              <w:t>Address:</w:t>
            </w:r>
          </w:p>
        </w:tc>
        <w:tc>
          <w:tcPr>
            <w:tcW w:w="6686" w:type="dxa"/>
          </w:tcPr>
          <w:p w14:paraId="6A6011D5" w14:textId="3363CB77" w:rsidR="0042090A" w:rsidRPr="007700F3" w:rsidRDefault="00DB5BE9" w:rsidP="007700F3">
            <w:pPr>
              <w:pStyle w:val="MRheading3"/>
              <w:numPr>
                <w:ilvl w:val="0"/>
                <w:numId w:val="0"/>
              </w:numPr>
              <w:spacing w:line="240" w:lineRule="auto"/>
              <w:rPr>
                <w:highlight w:val="yellow"/>
              </w:rPr>
            </w:pPr>
            <w:r w:rsidRPr="007700F3">
              <w:rPr>
                <w:highlight w:val="yellow"/>
              </w:rPr>
              <w:t>[●]</w:t>
            </w:r>
          </w:p>
        </w:tc>
      </w:tr>
      <w:tr w:rsidR="0042090A" w14:paraId="717E3983" w14:textId="77777777" w:rsidTr="007700F3">
        <w:tc>
          <w:tcPr>
            <w:tcW w:w="2972" w:type="dxa"/>
          </w:tcPr>
          <w:p w14:paraId="43E119DD" w14:textId="37DA33ED" w:rsidR="0042090A" w:rsidRDefault="00DB5BE9" w:rsidP="007700F3">
            <w:pPr>
              <w:pStyle w:val="MRheading3"/>
              <w:numPr>
                <w:ilvl w:val="0"/>
                <w:numId w:val="0"/>
              </w:numPr>
              <w:spacing w:line="240" w:lineRule="auto"/>
              <w:ind w:left="1588"/>
            </w:pPr>
            <w:r>
              <w:t>Telephone:</w:t>
            </w:r>
          </w:p>
        </w:tc>
        <w:tc>
          <w:tcPr>
            <w:tcW w:w="6686" w:type="dxa"/>
          </w:tcPr>
          <w:p w14:paraId="2DAA1898" w14:textId="2B0EE27C" w:rsidR="0042090A" w:rsidRPr="007700F3" w:rsidRDefault="00DB5BE9" w:rsidP="007700F3">
            <w:pPr>
              <w:pStyle w:val="MRheading3"/>
              <w:numPr>
                <w:ilvl w:val="0"/>
                <w:numId w:val="0"/>
              </w:numPr>
              <w:spacing w:line="240" w:lineRule="auto"/>
              <w:rPr>
                <w:highlight w:val="yellow"/>
              </w:rPr>
            </w:pPr>
            <w:r w:rsidRPr="007700F3">
              <w:rPr>
                <w:highlight w:val="yellow"/>
              </w:rPr>
              <w:t>[●]</w:t>
            </w:r>
          </w:p>
        </w:tc>
      </w:tr>
      <w:tr w:rsidR="0042090A" w14:paraId="7218AB65" w14:textId="77777777" w:rsidTr="007700F3">
        <w:trPr>
          <w:trHeight w:val="60"/>
        </w:trPr>
        <w:tc>
          <w:tcPr>
            <w:tcW w:w="2972" w:type="dxa"/>
          </w:tcPr>
          <w:p w14:paraId="12713C92" w14:textId="4906E5E9" w:rsidR="0042090A" w:rsidRDefault="00DB5BE9" w:rsidP="007700F3">
            <w:pPr>
              <w:pStyle w:val="MRheading3"/>
              <w:numPr>
                <w:ilvl w:val="0"/>
                <w:numId w:val="0"/>
              </w:numPr>
              <w:spacing w:line="240" w:lineRule="auto"/>
              <w:ind w:left="1588"/>
            </w:pPr>
            <w:r>
              <w:t>Email:</w:t>
            </w:r>
          </w:p>
        </w:tc>
        <w:tc>
          <w:tcPr>
            <w:tcW w:w="6686" w:type="dxa"/>
          </w:tcPr>
          <w:p w14:paraId="1D2D68C2" w14:textId="3D2D2E9E" w:rsidR="0042090A" w:rsidRPr="007700F3" w:rsidRDefault="00DB5BE9" w:rsidP="007700F3">
            <w:pPr>
              <w:pStyle w:val="MRheading3"/>
              <w:numPr>
                <w:ilvl w:val="0"/>
                <w:numId w:val="0"/>
              </w:numPr>
              <w:spacing w:line="240" w:lineRule="auto"/>
              <w:rPr>
                <w:highlight w:val="yellow"/>
              </w:rPr>
            </w:pPr>
            <w:r w:rsidRPr="007700F3">
              <w:rPr>
                <w:highlight w:val="yellow"/>
              </w:rPr>
              <w:t>[●]</w:t>
            </w:r>
          </w:p>
        </w:tc>
      </w:tr>
      <w:tr w:rsidR="0042090A" w14:paraId="3FD4A0ED" w14:textId="77777777" w:rsidTr="003C2424">
        <w:trPr>
          <w:trHeight w:val="288"/>
        </w:trPr>
        <w:tc>
          <w:tcPr>
            <w:tcW w:w="2972" w:type="dxa"/>
          </w:tcPr>
          <w:p w14:paraId="3774487D" w14:textId="5E835DB9" w:rsidR="0042090A" w:rsidRDefault="00DB5BE9" w:rsidP="007700F3">
            <w:pPr>
              <w:pStyle w:val="MRheading3"/>
              <w:numPr>
                <w:ilvl w:val="0"/>
                <w:numId w:val="0"/>
              </w:numPr>
              <w:spacing w:line="240" w:lineRule="auto"/>
              <w:ind w:left="1588"/>
            </w:pPr>
            <w:r>
              <w:t>Attention:</w:t>
            </w:r>
          </w:p>
        </w:tc>
        <w:tc>
          <w:tcPr>
            <w:tcW w:w="6686" w:type="dxa"/>
          </w:tcPr>
          <w:p w14:paraId="030DB490" w14:textId="169DA742" w:rsidR="0042090A" w:rsidRPr="007700F3" w:rsidRDefault="00DB5BE9" w:rsidP="007700F3">
            <w:pPr>
              <w:pStyle w:val="MRheading3"/>
              <w:numPr>
                <w:ilvl w:val="0"/>
                <w:numId w:val="0"/>
              </w:numPr>
              <w:spacing w:line="240" w:lineRule="auto"/>
              <w:rPr>
                <w:highlight w:val="yellow"/>
              </w:rPr>
            </w:pPr>
            <w:r w:rsidRPr="007700F3">
              <w:rPr>
                <w:highlight w:val="yellow"/>
              </w:rPr>
              <w:t>[●]</w:t>
            </w:r>
          </w:p>
        </w:tc>
      </w:tr>
    </w:tbl>
    <w:p w14:paraId="06B8FCFB" w14:textId="66760672" w:rsidR="00550A02" w:rsidRDefault="00A84998" w:rsidP="007700F3">
      <w:pPr>
        <w:pStyle w:val="MRheading3"/>
        <w:numPr>
          <w:ilvl w:val="0"/>
          <w:numId w:val="0"/>
        </w:numPr>
        <w:spacing w:line="240" w:lineRule="auto"/>
        <w:ind w:left="720"/>
      </w:pPr>
      <w:r>
        <w:t>i</w:t>
      </w:r>
      <w:r w:rsidR="004D7B99">
        <w:t xml:space="preserve">n respect of </w:t>
      </w:r>
      <w:r>
        <w:t>THET</w:t>
      </w:r>
      <w:r w:rsidR="004D7B9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86"/>
      </w:tblGrid>
      <w:tr w:rsidR="00DB5BE9" w14:paraId="68675C83" w14:textId="77777777" w:rsidTr="00DB5BE9">
        <w:tc>
          <w:tcPr>
            <w:tcW w:w="2972" w:type="dxa"/>
          </w:tcPr>
          <w:p w14:paraId="03152AE8" w14:textId="77777777" w:rsidR="00DB5BE9" w:rsidRDefault="00DB5BE9" w:rsidP="007700F3">
            <w:pPr>
              <w:pStyle w:val="MRheading3"/>
              <w:numPr>
                <w:ilvl w:val="0"/>
                <w:numId w:val="0"/>
              </w:numPr>
              <w:spacing w:line="240" w:lineRule="auto"/>
              <w:ind w:left="1588"/>
            </w:pPr>
            <w:bookmarkStart w:id="66" w:name="_Hlk125105669"/>
            <w:r>
              <w:t>Address:</w:t>
            </w:r>
          </w:p>
        </w:tc>
        <w:tc>
          <w:tcPr>
            <w:tcW w:w="6686" w:type="dxa"/>
          </w:tcPr>
          <w:p w14:paraId="5E1BB7CF" w14:textId="5CCBDC06" w:rsidR="00DB5BE9" w:rsidRDefault="00990E13" w:rsidP="007700F3">
            <w:pPr>
              <w:pStyle w:val="MRheading3"/>
              <w:numPr>
                <w:ilvl w:val="0"/>
                <w:numId w:val="0"/>
              </w:numPr>
              <w:spacing w:line="240" w:lineRule="auto"/>
              <w:ind w:left="1173" w:hanging="1173"/>
            </w:pPr>
            <w:r w:rsidRPr="00772348">
              <w:t>3rd Floor, 86 – 90 Paul Street, London, EC2A 4NE</w:t>
            </w:r>
          </w:p>
        </w:tc>
      </w:tr>
      <w:tr w:rsidR="00DB5BE9" w14:paraId="780F20EB" w14:textId="77777777" w:rsidTr="00DB5BE9">
        <w:tc>
          <w:tcPr>
            <w:tcW w:w="2972" w:type="dxa"/>
          </w:tcPr>
          <w:p w14:paraId="6054F60A" w14:textId="77777777" w:rsidR="00DB5BE9" w:rsidRDefault="00DB5BE9" w:rsidP="007700F3">
            <w:pPr>
              <w:pStyle w:val="MRheading3"/>
              <w:numPr>
                <w:ilvl w:val="0"/>
                <w:numId w:val="0"/>
              </w:numPr>
              <w:spacing w:line="240" w:lineRule="auto"/>
              <w:ind w:left="1588"/>
            </w:pPr>
            <w:r>
              <w:t>Telephone:</w:t>
            </w:r>
          </w:p>
        </w:tc>
        <w:tc>
          <w:tcPr>
            <w:tcW w:w="6686" w:type="dxa"/>
          </w:tcPr>
          <w:p w14:paraId="366FBF6A" w14:textId="5AED903C" w:rsidR="00DB5BE9" w:rsidRDefault="00625ACB" w:rsidP="007700F3">
            <w:pPr>
              <w:pStyle w:val="MRheading3"/>
              <w:numPr>
                <w:ilvl w:val="0"/>
                <w:numId w:val="0"/>
              </w:numPr>
              <w:spacing w:line="240" w:lineRule="auto"/>
              <w:ind w:left="1173" w:hanging="1173"/>
            </w:pPr>
            <w:r w:rsidRPr="001D7BA5">
              <w:t>07399</w:t>
            </w:r>
            <w:r>
              <w:t xml:space="preserve"> </w:t>
            </w:r>
            <w:r w:rsidRPr="001D7BA5">
              <w:t>621271</w:t>
            </w:r>
          </w:p>
        </w:tc>
      </w:tr>
      <w:tr w:rsidR="00DB5BE9" w14:paraId="4696D48B" w14:textId="77777777" w:rsidTr="00DB5BE9">
        <w:trPr>
          <w:trHeight w:val="60"/>
        </w:trPr>
        <w:tc>
          <w:tcPr>
            <w:tcW w:w="2972" w:type="dxa"/>
          </w:tcPr>
          <w:p w14:paraId="776EC849" w14:textId="77777777" w:rsidR="00DB5BE9" w:rsidRDefault="00DB5BE9" w:rsidP="007700F3">
            <w:pPr>
              <w:pStyle w:val="MRheading3"/>
              <w:numPr>
                <w:ilvl w:val="0"/>
                <w:numId w:val="0"/>
              </w:numPr>
              <w:spacing w:line="240" w:lineRule="auto"/>
              <w:ind w:left="1588"/>
            </w:pPr>
            <w:r>
              <w:t>Email:</w:t>
            </w:r>
          </w:p>
        </w:tc>
        <w:tc>
          <w:tcPr>
            <w:tcW w:w="6686" w:type="dxa"/>
          </w:tcPr>
          <w:p w14:paraId="70068E87" w14:textId="087D2BA9" w:rsidR="00DB5BE9" w:rsidRDefault="00DB5BE9" w:rsidP="007700F3">
            <w:pPr>
              <w:pStyle w:val="MRheading3"/>
              <w:numPr>
                <w:ilvl w:val="0"/>
                <w:numId w:val="0"/>
              </w:numPr>
              <w:spacing w:line="240" w:lineRule="auto"/>
              <w:ind w:left="1173" w:hanging="1173"/>
            </w:pPr>
            <w:r w:rsidRPr="007700F3">
              <w:t>grants</w:t>
            </w:r>
            <w:r w:rsidR="006D4260" w:rsidRPr="007700F3">
              <w:t>@thet.org</w:t>
            </w:r>
          </w:p>
        </w:tc>
      </w:tr>
      <w:tr w:rsidR="00DB5BE9" w14:paraId="74E9BCA4" w14:textId="77777777" w:rsidTr="00DB5BE9">
        <w:tc>
          <w:tcPr>
            <w:tcW w:w="2972" w:type="dxa"/>
          </w:tcPr>
          <w:p w14:paraId="2364A9F2" w14:textId="77777777" w:rsidR="00DB5BE9" w:rsidRDefault="00DB5BE9" w:rsidP="007700F3">
            <w:pPr>
              <w:pStyle w:val="MRheading3"/>
              <w:numPr>
                <w:ilvl w:val="0"/>
                <w:numId w:val="0"/>
              </w:numPr>
              <w:spacing w:line="240" w:lineRule="auto"/>
              <w:ind w:left="1588"/>
            </w:pPr>
            <w:r>
              <w:t>Attention:</w:t>
            </w:r>
          </w:p>
        </w:tc>
        <w:tc>
          <w:tcPr>
            <w:tcW w:w="6686" w:type="dxa"/>
          </w:tcPr>
          <w:p w14:paraId="67D86D65" w14:textId="11E4F9EA" w:rsidR="00DB5BE9" w:rsidRDefault="00C26C7C" w:rsidP="007700F3">
            <w:pPr>
              <w:pStyle w:val="MRheading3"/>
              <w:numPr>
                <w:ilvl w:val="0"/>
                <w:numId w:val="0"/>
              </w:numPr>
              <w:spacing w:line="240" w:lineRule="auto"/>
              <w:ind w:left="1173" w:hanging="1173"/>
            </w:pPr>
            <w:r>
              <w:t>Mathilde W</w:t>
            </w:r>
            <w:r w:rsidR="002D55B2">
              <w:t>a</w:t>
            </w:r>
            <w:r>
              <w:t>ngen</w:t>
            </w:r>
          </w:p>
        </w:tc>
      </w:tr>
    </w:tbl>
    <w:bookmarkEnd w:id="66"/>
    <w:p w14:paraId="5ECA39F0" w14:textId="20C39523" w:rsidR="00EE56A7" w:rsidRDefault="01A3A62F" w:rsidP="7D6BE9DE">
      <w:pPr>
        <w:pStyle w:val="MRheading2"/>
        <w:spacing w:line="240" w:lineRule="auto"/>
        <w:rPr>
          <w:rFonts w:cs="Arial"/>
        </w:rPr>
      </w:pPr>
      <w:r>
        <w:t xml:space="preserve">In the event of </w:t>
      </w:r>
      <w:r w:rsidRPr="7D6BE9DE">
        <w:rPr>
          <w:rFonts w:cs="Arial"/>
        </w:rPr>
        <w:t>any</w:t>
      </w:r>
      <w:r>
        <w:t xml:space="preserve"> complaint or dispute (which does not relate to THET's right to withhold funds or terminate) arising between the </w:t>
      </w:r>
      <w:r w:rsidR="6FB69475">
        <w:t xml:space="preserve">Parties </w:t>
      </w:r>
      <w:r>
        <w:t xml:space="preserve">in relation </w:t>
      </w:r>
      <w:r w:rsidRPr="7D6BE9DE">
        <w:rPr>
          <w:rFonts w:cs="Arial"/>
        </w:rPr>
        <w:t xml:space="preserve">to this Agreement or any aspect of the </w:t>
      </w:r>
      <w:r w:rsidR="4C574C7F" w:rsidRPr="7D6BE9DE">
        <w:rPr>
          <w:rFonts w:cs="Arial"/>
        </w:rPr>
        <w:t>GHWP</w:t>
      </w:r>
      <w:r w:rsidR="538AF696" w:rsidRPr="7D6BE9DE">
        <w:rPr>
          <w:rFonts w:cs="Arial"/>
        </w:rPr>
        <w:t xml:space="preserve"> </w:t>
      </w:r>
      <w:r w:rsidRPr="7D6BE9DE">
        <w:rPr>
          <w:rFonts w:cs="Arial"/>
        </w:rPr>
        <w:t xml:space="preserve">the matter should first be referred for resolution to THET’s Head of </w:t>
      </w:r>
      <w:r w:rsidR="538AF696" w:rsidRPr="7D6BE9DE">
        <w:rPr>
          <w:rFonts w:cs="Arial"/>
        </w:rPr>
        <w:t>Programmes</w:t>
      </w:r>
      <w:r w:rsidRPr="7D6BE9DE">
        <w:rPr>
          <w:rFonts w:cs="Arial"/>
        </w:rPr>
        <w:t xml:space="preserve"> or any other individual nominated by THET from time to time. </w:t>
      </w:r>
    </w:p>
    <w:p w14:paraId="0F1D97B7" w14:textId="349520B3" w:rsidR="00EE56A7" w:rsidRDefault="00EE56A7">
      <w:pPr>
        <w:pStyle w:val="MRheading2"/>
        <w:spacing w:line="240" w:lineRule="auto"/>
        <w:rPr>
          <w:rFonts w:cs="Arial"/>
          <w:szCs w:val="22"/>
        </w:rPr>
      </w:pPr>
      <w:bookmarkStart w:id="67" w:name="_Ref319081566"/>
      <w:r w:rsidRPr="00AD5A65">
        <w:rPr>
          <w:rFonts w:cs="Arial"/>
          <w:szCs w:val="22"/>
        </w:rPr>
        <w:t xml:space="preserve">Should the complaint or dispute remain unresolved </w:t>
      </w:r>
      <w:r>
        <w:rPr>
          <w:rFonts w:cs="Arial"/>
          <w:szCs w:val="22"/>
        </w:rPr>
        <w:t>within fourteen</w:t>
      </w:r>
      <w:r w:rsidRPr="00AD5A65">
        <w:rPr>
          <w:rFonts w:cs="Arial"/>
          <w:szCs w:val="22"/>
        </w:rPr>
        <w:t xml:space="preserve"> </w:t>
      </w:r>
      <w:r>
        <w:rPr>
          <w:rFonts w:cs="Arial"/>
          <w:szCs w:val="22"/>
        </w:rPr>
        <w:t>(1</w:t>
      </w:r>
      <w:r w:rsidRPr="00AD5A65">
        <w:rPr>
          <w:rFonts w:cs="Arial"/>
          <w:szCs w:val="22"/>
        </w:rPr>
        <w:t>4</w:t>
      </w:r>
      <w:r>
        <w:rPr>
          <w:rFonts w:cs="Arial"/>
          <w:szCs w:val="22"/>
        </w:rPr>
        <w:t>)</w:t>
      </w:r>
      <w:r w:rsidRPr="00AD5A65">
        <w:rPr>
          <w:rFonts w:cs="Arial"/>
          <w:szCs w:val="22"/>
        </w:rPr>
        <w:t xml:space="preserve"> days of the matter first being referred to the </w:t>
      </w:r>
      <w:r>
        <w:rPr>
          <w:rFonts w:cs="Arial"/>
          <w:szCs w:val="22"/>
        </w:rPr>
        <w:t xml:space="preserve">Head of </w:t>
      </w:r>
      <w:r w:rsidR="00965329">
        <w:rPr>
          <w:rFonts w:cs="Arial"/>
          <w:szCs w:val="22"/>
        </w:rPr>
        <w:t>Programmes</w:t>
      </w:r>
      <w:r w:rsidRPr="00B71593">
        <w:rPr>
          <w:rFonts w:cs="Arial"/>
          <w:szCs w:val="22"/>
        </w:rPr>
        <w:t xml:space="preserve"> </w:t>
      </w:r>
      <w:r w:rsidRPr="00AD5A65">
        <w:rPr>
          <w:rFonts w:cs="Arial"/>
          <w:szCs w:val="22"/>
        </w:rPr>
        <w:t xml:space="preserve">or other nominated individual, as the case may be, either party may refer the matter to the </w:t>
      </w:r>
      <w:r w:rsidRPr="005601E5">
        <w:rPr>
          <w:rFonts w:cs="Arial"/>
          <w:szCs w:val="22"/>
        </w:rPr>
        <w:t>Chief Executive</w:t>
      </w:r>
      <w:r w:rsidRPr="00AD5A65">
        <w:rPr>
          <w:rFonts w:cs="Arial"/>
          <w:szCs w:val="22"/>
        </w:rPr>
        <w:t xml:space="preserve"> of THET and the </w:t>
      </w:r>
      <w:r w:rsidRPr="005601E5">
        <w:rPr>
          <w:rFonts w:cs="Arial"/>
          <w:szCs w:val="22"/>
        </w:rPr>
        <w:t>Chief Executive</w:t>
      </w:r>
      <w:r w:rsidRPr="00AD5A65">
        <w:rPr>
          <w:rFonts w:cs="Arial"/>
          <w:szCs w:val="22"/>
        </w:rPr>
        <w:t xml:space="preserve"> of the </w:t>
      </w:r>
      <w:r w:rsidR="00632356">
        <w:rPr>
          <w:rFonts w:cs="Arial"/>
          <w:szCs w:val="22"/>
        </w:rPr>
        <w:t>Lead Partner</w:t>
      </w:r>
      <w:r w:rsidRPr="00AD5A65">
        <w:rPr>
          <w:rFonts w:cs="Arial"/>
          <w:szCs w:val="22"/>
        </w:rPr>
        <w:t xml:space="preserve"> with an instruction to attempt to resolve th</w:t>
      </w:r>
      <w:r>
        <w:rPr>
          <w:rFonts w:cs="Arial"/>
          <w:szCs w:val="22"/>
        </w:rPr>
        <w:t>e dispute by agreement within twenty-eight (28)</w:t>
      </w:r>
      <w:r w:rsidRPr="00AD5A65">
        <w:rPr>
          <w:rFonts w:cs="Arial"/>
          <w:szCs w:val="22"/>
        </w:rPr>
        <w:t xml:space="preserve"> days, or such other period as may be mutually agreed by THET and the </w:t>
      </w:r>
      <w:r w:rsidR="00632356">
        <w:rPr>
          <w:rFonts w:cs="Arial"/>
          <w:szCs w:val="22"/>
        </w:rPr>
        <w:t>Lead Partner</w:t>
      </w:r>
      <w:r w:rsidRPr="00AD5A65">
        <w:rPr>
          <w:rFonts w:cs="Arial"/>
          <w:szCs w:val="22"/>
        </w:rPr>
        <w:t>.</w:t>
      </w:r>
      <w:bookmarkEnd w:id="67"/>
    </w:p>
    <w:p w14:paraId="7D51EDB1" w14:textId="0400E30F" w:rsidR="00EE56A7" w:rsidRDefault="00EE56A7" w:rsidP="0095685B">
      <w:pPr>
        <w:pStyle w:val="MRheading2"/>
        <w:spacing w:line="240" w:lineRule="auto"/>
        <w:rPr>
          <w:rFonts w:cs="Arial"/>
          <w:szCs w:val="22"/>
        </w:rPr>
      </w:pPr>
      <w:bookmarkStart w:id="68" w:name="_Ref319081605"/>
      <w:r w:rsidRPr="00AD5A65">
        <w:rPr>
          <w:rFonts w:cs="Arial"/>
          <w:szCs w:val="22"/>
        </w:rPr>
        <w:t xml:space="preserve">In the absence of agreement under </w:t>
      </w:r>
      <w:r>
        <w:rPr>
          <w:rFonts w:cs="Arial"/>
          <w:szCs w:val="22"/>
        </w:rPr>
        <w:t xml:space="preserve">paragraph </w:t>
      </w:r>
      <w:r>
        <w:rPr>
          <w:rFonts w:cs="Arial"/>
          <w:szCs w:val="22"/>
        </w:rPr>
        <w:fldChar w:fldCharType="begin"/>
      </w:r>
      <w:r>
        <w:rPr>
          <w:rFonts w:cs="Arial"/>
          <w:szCs w:val="22"/>
        </w:rPr>
        <w:instrText xml:space="preserve"> REF _Ref319081566 \r \h </w:instrText>
      </w:r>
      <w:r w:rsidR="00EC5CC0">
        <w:rPr>
          <w:rFonts w:cs="Arial"/>
          <w:szCs w:val="22"/>
        </w:rPr>
        <w:instrText xml:space="preserve"> \* MERGEFORMAT </w:instrText>
      </w:r>
      <w:r>
        <w:rPr>
          <w:rFonts w:cs="Arial"/>
          <w:szCs w:val="22"/>
        </w:rPr>
      </w:r>
      <w:r>
        <w:rPr>
          <w:rFonts w:cs="Arial"/>
          <w:szCs w:val="22"/>
        </w:rPr>
        <w:fldChar w:fldCharType="separate"/>
      </w:r>
      <w:r w:rsidR="006B5F2E">
        <w:rPr>
          <w:rFonts w:cs="Arial"/>
          <w:szCs w:val="22"/>
        </w:rPr>
        <w:t>26.4</w:t>
      </w:r>
      <w:r>
        <w:rPr>
          <w:rFonts w:cs="Arial"/>
          <w:szCs w:val="22"/>
        </w:rPr>
        <w:fldChar w:fldCharType="end"/>
      </w:r>
      <w:r w:rsidR="00DA5F51">
        <w:rPr>
          <w:rFonts w:cs="Arial"/>
          <w:szCs w:val="22"/>
        </w:rPr>
        <w:t xml:space="preserve">, </w:t>
      </w:r>
      <w:r w:rsidRPr="00AD5A65">
        <w:rPr>
          <w:rFonts w:cs="Arial"/>
          <w:szCs w:val="22"/>
        </w:rPr>
        <w:t xml:space="preserve">the </w:t>
      </w:r>
      <w:r w:rsidR="005E545B">
        <w:rPr>
          <w:rFonts w:cs="Arial"/>
          <w:szCs w:val="22"/>
        </w:rPr>
        <w:t>P</w:t>
      </w:r>
      <w:r w:rsidRPr="00AD5A65">
        <w:rPr>
          <w:rFonts w:cs="Arial"/>
          <w:szCs w:val="22"/>
        </w:rPr>
        <w:t xml:space="preserve">arties may seek to resolve the matter </w:t>
      </w:r>
      <w:r>
        <w:rPr>
          <w:rFonts w:cs="Arial"/>
          <w:szCs w:val="22"/>
        </w:rPr>
        <w:t>through</w:t>
      </w:r>
      <w:r w:rsidRPr="00AD5A65">
        <w:rPr>
          <w:rFonts w:cs="Arial"/>
          <w:szCs w:val="22"/>
        </w:rPr>
        <w:t xml:space="preserve"> mediation under the CEDR Model Mediation Procedure (or such other appropriate dispute resolution model as is agreed by both parties). Unless otherwise agreed, the </w:t>
      </w:r>
      <w:r w:rsidR="005E545B">
        <w:rPr>
          <w:rFonts w:cs="Arial"/>
          <w:szCs w:val="22"/>
        </w:rPr>
        <w:t>P</w:t>
      </w:r>
      <w:r w:rsidRPr="00AD5A65">
        <w:rPr>
          <w:rFonts w:cs="Arial"/>
          <w:szCs w:val="22"/>
        </w:rPr>
        <w:t>arties shall bear the costs and expenses of the mediation equally.</w:t>
      </w:r>
      <w:bookmarkEnd w:id="68"/>
    </w:p>
    <w:p w14:paraId="4B189191" w14:textId="79E68311" w:rsidR="00EE56A7" w:rsidRDefault="00EE56A7" w:rsidP="0095685B">
      <w:pPr>
        <w:pStyle w:val="MRheading2"/>
        <w:spacing w:line="240" w:lineRule="auto"/>
        <w:rPr>
          <w:rFonts w:cs="Arial"/>
          <w:szCs w:val="22"/>
        </w:rPr>
      </w:pPr>
      <w:r>
        <w:rPr>
          <w:rFonts w:cs="Arial"/>
          <w:szCs w:val="22"/>
        </w:rPr>
        <w:t xml:space="preserve">If the </w:t>
      </w:r>
      <w:r w:rsidR="005E545B">
        <w:rPr>
          <w:rFonts w:cs="Arial"/>
          <w:szCs w:val="22"/>
        </w:rPr>
        <w:t>P</w:t>
      </w:r>
      <w:r>
        <w:rPr>
          <w:rFonts w:cs="Arial"/>
          <w:szCs w:val="22"/>
        </w:rPr>
        <w:t xml:space="preserve">arties fail to reach agreement within thirty (30) days of the appointment of a mediator pursuant to paragraph </w:t>
      </w:r>
      <w:r>
        <w:rPr>
          <w:rFonts w:cs="Arial"/>
          <w:szCs w:val="22"/>
        </w:rPr>
        <w:fldChar w:fldCharType="begin"/>
      </w:r>
      <w:r>
        <w:rPr>
          <w:rFonts w:cs="Arial"/>
          <w:szCs w:val="22"/>
        </w:rPr>
        <w:instrText xml:space="preserve"> REF _Ref319081605 \r \h </w:instrText>
      </w:r>
      <w:r w:rsidR="00EC5CC0">
        <w:rPr>
          <w:rFonts w:cs="Arial"/>
          <w:szCs w:val="22"/>
        </w:rPr>
        <w:instrText xml:space="preserve"> \* MERGEFORMAT </w:instrText>
      </w:r>
      <w:r>
        <w:rPr>
          <w:rFonts w:cs="Arial"/>
          <w:szCs w:val="22"/>
        </w:rPr>
      </w:r>
      <w:r>
        <w:rPr>
          <w:rFonts w:cs="Arial"/>
          <w:szCs w:val="22"/>
        </w:rPr>
        <w:fldChar w:fldCharType="separate"/>
      </w:r>
      <w:r w:rsidR="006B5F2E">
        <w:rPr>
          <w:rFonts w:cs="Arial"/>
          <w:szCs w:val="22"/>
        </w:rPr>
        <w:t>26.5</w:t>
      </w:r>
      <w:r>
        <w:rPr>
          <w:rFonts w:cs="Arial"/>
          <w:szCs w:val="22"/>
        </w:rPr>
        <w:fldChar w:fldCharType="end"/>
      </w:r>
      <w:r>
        <w:rPr>
          <w:rFonts w:cs="Arial"/>
          <w:szCs w:val="22"/>
        </w:rPr>
        <w:t xml:space="preserve">, such failure shall be without prejudice to the right of either party subsequently to refer any dispute to litigation, but the </w:t>
      </w:r>
      <w:r w:rsidR="005E545B">
        <w:rPr>
          <w:rFonts w:cs="Arial"/>
          <w:szCs w:val="22"/>
        </w:rPr>
        <w:t>P</w:t>
      </w:r>
      <w:r>
        <w:rPr>
          <w:rFonts w:cs="Arial"/>
          <w:szCs w:val="22"/>
        </w:rPr>
        <w:t>arties agree than mediation shall have taken place before resorting to litigation.</w:t>
      </w:r>
    </w:p>
    <w:p w14:paraId="089541AB" w14:textId="61AD016E" w:rsidR="00EE56A7" w:rsidRDefault="00EE56A7" w:rsidP="0095685B">
      <w:pPr>
        <w:pStyle w:val="MRheading2"/>
        <w:spacing w:line="240" w:lineRule="auto"/>
        <w:rPr>
          <w:rFonts w:cs="Arial"/>
          <w:szCs w:val="22"/>
        </w:rPr>
      </w:pPr>
      <w:r>
        <w:rPr>
          <w:rFonts w:cs="Arial"/>
          <w:szCs w:val="22"/>
        </w:rPr>
        <w:t xml:space="preserve">Nothing in this paragraph </w:t>
      </w:r>
      <w:r w:rsidR="00F85E39">
        <w:rPr>
          <w:rFonts w:cs="Arial"/>
          <w:szCs w:val="22"/>
        </w:rPr>
        <w:fldChar w:fldCharType="begin"/>
      </w:r>
      <w:r w:rsidR="00F85E39">
        <w:rPr>
          <w:rFonts w:cs="Arial"/>
          <w:szCs w:val="22"/>
        </w:rPr>
        <w:instrText xml:space="preserve"> REF _Ref125099639 \r \h </w:instrText>
      </w:r>
      <w:r w:rsidR="00F85E39">
        <w:rPr>
          <w:rFonts w:cs="Arial"/>
          <w:szCs w:val="22"/>
        </w:rPr>
      </w:r>
      <w:r w:rsidR="00F85E39">
        <w:rPr>
          <w:rFonts w:cs="Arial"/>
          <w:szCs w:val="22"/>
        </w:rPr>
        <w:fldChar w:fldCharType="separate"/>
      </w:r>
      <w:r w:rsidR="006B5F2E">
        <w:rPr>
          <w:rFonts w:cs="Arial"/>
          <w:szCs w:val="22"/>
        </w:rPr>
        <w:t>26</w:t>
      </w:r>
      <w:r w:rsidR="00F85E39">
        <w:rPr>
          <w:rFonts w:cs="Arial"/>
          <w:szCs w:val="22"/>
        </w:rPr>
        <w:fldChar w:fldCharType="end"/>
      </w:r>
      <w:r w:rsidR="00F85E39">
        <w:rPr>
          <w:rFonts w:cs="Arial"/>
          <w:szCs w:val="22"/>
        </w:rPr>
        <w:t xml:space="preserve"> </w:t>
      </w:r>
      <w:r>
        <w:rPr>
          <w:rFonts w:cs="Arial"/>
          <w:szCs w:val="22"/>
        </w:rPr>
        <w:t>will restrict the right of either party to commence legal proceedings at any time to preserve or protect any legal</w:t>
      </w:r>
      <w:r w:rsidR="00FD3D0D">
        <w:rPr>
          <w:rFonts w:cs="Arial"/>
          <w:szCs w:val="22"/>
        </w:rPr>
        <w:t xml:space="preserve"> or equitable</w:t>
      </w:r>
      <w:r>
        <w:rPr>
          <w:rFonts w:cs="Arial"/>
          <w:szCs w:val="22"/>
        </w:rPr>
        <w:t xml:space="preserve"> right or remedy</w:t>
      </w:r>
      <w:r w:rsidR="00FD3D0D">
        <w:rPr>
          <w:rFonts w:cs="Arial"/>
          <w:szCs w:val="22"/>
        </w:rPr>
        <w:t xml:space="preserve"> (</w:t>
      </w:r>
      <w:r w:rsidR="00FD3D0D">
        <w:t>including an injunction)</w:t>
      </w:r>
      <w:r>
        <w:rPr>
          <w:rFonts w:cs="Arial"/>
          <w:szCs w:val="22"/>
        </w:rPr>
        <w:t>.</w:t>
      </w:r>
    </w:p>
    <w:p w14:paraId="6104F65D" w14:textId="77777777" w:rsidR="00EE56A7" w:rsidRDefault="00EE56A7">
      <w:pPr>
        <w:pStyle w:val="MRheading1"/>
        <w:spacing w:line="240" w:lineRule="auto"/>
      </w:pPr>
      <w:r w:rsidRPr="002B1D5A">
        <w:lastRenderedPageBreak/>
        <w:t>Force</w:t>
      </w:r>
      <w:r>
        <w:t xml:space="preserve"> Majeure</w:t>
      </w:r>
    </w:p>
    <w:p w14:paraId="166C454C" w14:textId="28D8BFF5" w:rsidR="00EE56A7" w:rsidRDefault="00EE56A7">
      <w:pPr>
        <w:pStyle w:val="MRheading2"/>
        <w:spacing w:line="240" w:lineRule="auto"/>
      </w:pPr>
      <w:r>
        <w:t>No party shall be responsible to the other party for any delay in performance or non-performance due to Force Majeure, but the affected party shall promptly upon occurrence of any such causes inform the other party, stating that such cause has delayed or prevented its performance hereunder and thereafter such party shall take all action within its power to comply with the terms of this Agreement as fully and promptly as possible.</w:t>
      </w:r>
      <w:r w:rsidR="00564202">
        <w:t xml:space="preserve"> </w:t>
      </w:r>
      <w:r>
        <w:t xml:space="preserve">If the Force Majeure in question prevails for a continuous period in excess of two (2) weeks, the </w:t>
      </w:r>
      <w:r w:rsidR="005E545B">
        <w:t>P</w:t>
      </w:r>
      <w:r>
        <w:t>arties shall enter into discussions with a view to alleviating its effects or to agree reasonable alternative arrangements.</w:t>
      </w:r>
    </w:p>
    <w:p w14:paraId="52AB4395" w14:textId="77777777" w:rsidR="00EE56A7" w:rsidRPr="002B1D5A" w:rsidRDefault="00EE56A7">
      <w:pPr>
        <w:pStyle w:val="MRheading1"/>
        <w:spacing w:line="240" w:lineRule="auto"/>
        <w:rPr>
          <w:rFonts w:cs="Arial"/>
          <w:bCs/>
          <w:szCs w:val="22"/>
        </w:rPr>
      </w:pPr>
      <w:r>
        <w:rPr>
          <w:rFonts w:cs="Arial"/>
          <w:bCs/>
          <w:szCs w:val="22"/>
        </w:rPr>
        <w:t>No Partnership or Agency</w:t>
      </w:r>
    </w:p>
    <w:p w14:paraId="0F4C9634" w14:textId="083EE364" w:rsidR="00EE56A7" w:rsidRPr="00AD5A65" w:rsidRDefault="00EE56A7">
      <w:pPr>
        <w:pStyle w:val="MRheading2"/>
        <w:spacing w:line="240" w:lineRule="auto"/>
        <w:rPr>
          <w:rFonts w:cs="Arial"/>
          <w:szCs w:val="22"/>
        </w:rPr>
      </w:pPr>
      <w:r w:rsidRPr="00AD5A65">
        <w:rPr>
          <w:rFonts w:cs="Arial"/>
          <w:szCs w:val="22"/>
        </w:rPr>
        <w:t xml:space="preserve">This Agreement shall not create any partnership or joint venture between THET and the </w:t>
      </w:r>
      <w:r w:rsidR="00632356">
        <w:rPr>
          <w:rFonts w:cs="Arial"/>
          <w:szCs w:val="22"/>
        </w:rPr>
        <w:t>Lead Partner</w:t>
      </w:r>
      <w:r w:rsidRPr="00AD5A65">
        <w:rPr>
          <w:rFonts w:cs="Arial"/>
          <w:szCs w:val="22"/>
        </w:rPr>
        <w:t xml:space="preserve">, nor any relationship of principal and agent, nor authorise any party to make or enter into any commitments for or on behalf of the other party. </w:t>
      </w:r>
    </w:p>
    <w:p w14:paraId="082B1206" w14:textId="77777777" w:rsidR="00EE56A7" w:rsidRPr="002B1D5A" w:rsidRDefault="00EE56A7">
      <w:pPr>
        <w:pStyle w:val="MRheading1"/>
        <w:spacing w:line="240" w:lineRule="auto"/>
        <w:rPr>
          <w:bCs/>
        </w:rPr>
      </w:pPr>
      <w:r w:rsidRPr="002B1D5A">
        <w:rPr>
          <w:bCs/>
        </w:rPr>
        <w:t>Joint a</w:t>
      </w:r>
      <w:r>
        <w:rPr>
          <w:bCs/>
        </w:rPr>
        <w:t>nd Several Liability</w:t>
      </w:r>
    </w:p>
    <w:p w14:paraId="775F2E71" w14:textId="566A8487" w:rsidR="00EE56A7" w:rsidRPr="00AD5A65" w:rsidRDefault="00EE56A7">
      <w:pPr>
        <w:pStyle w:val="MRheading2"/>
        <w:spacing w:line="240" w:lineRule="auto"/>
        <w:rPr>
          <w:rFonts w:cs="Arial"/>
          <w:szCs w:val="22"/>
        </w:rPr>
      </w:pPr>
      <w:r w:rsidRPr="00AD5A65">
        <w:rPr>
          <w:rFonts w:cs="Arial"/>
          <w:szCs w:val="22"/>
        </w:rPr>
        <w:t xml:space="preserve">Where the </w:t>
      </w:r>
      <w:r w:rsidR="00632356">
        <w:rPr>
          <w:rFonts w:cs="Arial"/>
          <w:szCs w:val="22"/>
        </w:rPr>
        <w:t>Lead Partner</w:t>
      </w:r>
      <w:r w:rsidRPr="00AD5A65">
        <w:rPr>
          <w:rFonts w:cs="Arial"/>
          <w:szCs w:val="22"/>
        </w:rPr>
        <w:t xml:space="preserve"> is not a company nor an incorporated entity with a distinct legal personality of its own, the individuals who enter into and sign </w:t>
      </w:r>
      <w:r>
        <w:rPr>
          <w:rFonts w:cs="Arial"/>
          <w:szCs w:val="22"/>
        </w:rPr>
        <w:t xml:space="preserve">this </w:t>
      </w:r>
      <w:r w:rsidRPr="00AD5A65">
        <w:rPr>
          <w:rFonts w:cs="Arial"/>
          <w:szCs w:val="22"/>
        </w:rPr>
        <w:t xml:space="preserve">Agreement on behalf of the </w:t>
      </w:r>
      <w:r w:rsidR="00632356">
        <w:rPr>
          <w:rFonts w:cs="Arial"/>
          <w:szCs w:val="22"/>
        </w:rPr>
        <w:t>Lead Partner</w:t>
      </w:r>
      <w:r w:rsidRPr="00AD5A65">
        <w:rPr>
          <w:rFonts w:cs="Arial"/>
          <w:szCs w:val="22"/>
        </w:rPr>
        <w:t xml:space="preserve"> shall be jointly and severally liable for the </w:t>
      </w:r>
      <w:r w:rsidR="00632356">
        <w:rPr>
          <w:rFonts w:cs="Arial"/>
          <w:szCs w:val="22"/>
        </w:rPr>
        <w:t>Lead Partner</w:t>
      </w:r>
      <w:r w:rsidRPr="00AD5A65">
        <w:rPr>
          <w:rFonts w:cs="Arial"/>
          <w:szCs w:val="22"/>
        </w:rPr>
        <w:t xml:space="preserve">'s obligations and liabilities arising under this Agreement. </w:t>
      </w:r>
    </w:p>
    <w:p w14:paraId="1985A315" w14:textId="77777777" w:rsidR="00EE56A7" w:rsidRPr="002B1D5A" w:rsidRDefault="00EE56A7">
      <w:pPr>
        <w:pStyle w:val="MRheading1"/>
        <w:spacing w:line="240" w:lineRule="auto"/>
        <w:rPr>
          <w:bCs/>
        </w:rPr>
      </w:pPr>
      <w:r w:rsidRPr="002B1D5A">
        <w:rPr>
          <w:bCs/>
        </w:rPr>
        <w:t>Contracts (Ri</w:t>
      </w:r>
      <w:r>
        <w:rPr>
          <w:bCs/>
        </w:rPr>
        <w:t>ghts of Third Parties) Act 1999</w:t>
      </w:r>
    </w:p>
    <w:p w14:paraId="36CE2430" w14:textId="7409E125" w:rsidR="00EE56A7" w:rsidRPr="00AD5A65" w:rsidRDefault="00EE56A7">
      <w:pPr>
        <w:pStyle w:val="MRheading2"/>
        <w:spacing w:line="240" w:lineRule="auto"/>
        <w:rPr>
          <w:rFonts w:cs="Arial"/>
          <w:szCs w:val="22"/>
        </w:rPr>
      </w:pPr>
      <w:r>
        <w:rPr>
          <w:rFonts w:cs="Arial"/>
          <w:szCs w:val="22"/>
        </w:rPr>
        <w:t>This</w:t>
      </w:r>
      <w:r w:rsidRPr="00AD5A65">
        <w:rPr>
          <w:rFonts w:cs="Arial"/>
          <w:szCs w:val="22"/>
        </w:rPr>
        <w:t xml:space="preserve"> Agreement does not and is not intended to confer any contractual benefit on any person pursuant to the </w:t>
      </w:r>
      <w:r>
        <w:rPr>
          <w:rFonts w:cs="Arial"/>
          <w:szCs w:val="22"/>
        </w:rPr>
        <w:t>terms</w:t>
      </w:r>
      <w:r w:rsidRPr="00AD5A65">
        <w:rPr>
          <w:rFonts w:cs="Arial"/>
          <w:szCs w:val="22"/>
        </w:rPr>
        <w:t xml:space="preserve"> of the Contracts (Rights of Third Parties) Act 1999</w:t>
      </w:r>
      <w:r>
        <w:rPr>
          <w:rFonts w:cs="Arial"/>
          <w:szCs w:val="22"/>
        </w:rPr>
        <w:t xml:space="preserve"> except for </w:t>
      </w:r>
      <w:r w:rsidR="00B76D2C">
        <w:rPr>
          <w:rFonts w:cs="Arial"/>
          <w:szCs w:val="22"/>
        </w:rPr>
        <w:t>DHSC</w:t>
      </w:r>
      <w:r>
        <w:rPr>
          <w:rFonts w:cs="Arial"/>
          <w:szCs w:val="22"/>
        </w:rPr>
        <w:t>, who shall be entitled to enforce any term of this Agreement</w:t>
      </w:r>
      <w:r w:rsidRPr="00AD5A65">
        <w:rPr>
          <w:rFonts w:cs="Arial"/>
          <w:szCs w:val="22"/>
        </w:rPr>
        <w:t xml:space="preserve">. </w:t>
      </w:r>
    </w:p>
    <w:p w14:paraId="1D4F0AD3" w14:textId="77777777" w:rsidR="00EE56A7" w:rsidRPr="002B1D5A" w:rsidRDefault="00EE56A7">
      <w:pPr>
        <w:pStyle w:val="MRheading1"/>
        <w:spacing w:line="240" w:lineRule="auto"/>
        <w:rPr>
          <w:bCs/>
        </w:rPr>
      </w:pPr>
      <w:r w:rsidRPr="002B1D5A">
        <w:rPr>
          <w:bCs/>
        </w:rPr>
        <w:t>Governing Law</w:t>
      </w:r>
    </w:p>
    <w:p w14:paraId="7C5EFBC4" w14:textId="62741C6D" w:rsidR="00EE56A7" w:rsidRDefault="00EE56A7">
      <w:pPr>
        <w:pStyle w:val="MRheading2"/>
        <w:spacing w:line="240" w:lineRule="auto"/>
        <w:rPr>
          <w:rFonts w:cs="Arial"/>
          <w:szCs w:val="22"/>
        </w:rPr>
      </w:pPr>
      <w:r>
        <w:rPr>
          <w:rFonts w:cs="Arial"/>
          <w:szCs w:val="22"/>
        </w:rPr>
        <w:t>This</w:t>
      </w:r>
      <w:r w:rsidRPr="00AD5A65">
        <w:rPr>
          <w:rFonts w:cs="Arial"/>
          <w:szCs w:val="22"/>
        </w:rPr>
        <w:t xml:space="preserve"> Agreement shall be </w:t>
      </w:r>
      <w:r>
        <w:rPr>
          <w:rFonts w:cs="Arial"/>
          <w:szCs w:val="22"/>
        </w:rPr>
        <w:t>governed</w:t>
      </w:r>
      <w:r w:rsidRPr="00AD5A65">
        <w:rPr>
          <w:rFonts w:cs="Arial"/>
          <w:szCs w:val="22"/>
        </w:rPr>
        <w:t xml:space="preserve"> by and construed in accordance with the law of England and the </w:t>
      </w:r>
      <w:r w:rsidR="005E545B">
        <w:rPr>
          <w:rFonts w:cs="Arial"/>
          <w:szCs w:val="22"/>
        </w:rPr>
        <w:t>P</w:t>
      </w:r>
      <w:r w:rsidRPr="00AD5A65">
        <w:rPr>
          <w:rFonts w:cs="Arial"/>
          <w:szCs w:val="22"/>
        </w:rPr>
        <w:t xml:space="preserve">arties irrevocably submit to the exclusive jurisdiction of the English </w:t>
      </w:r>
      <w:r>
        <w:rPr>
          <w:rFonts w:cs="Arial"/>
          <w:szCs w:val="22"/>
        </w:rPr>
        <w:t>courts</w:t>
      </w:r>
      <w:r w:rsidR="00C31155">
        <w:rPr>
          <w:rFonts w:cs="Arial"/>
          <w:szCs w:val="22"/>
        </w:rPr>
        <w:t>.</w:t>
      </w:r>
    </w:p>
    <w:p w14:paraId="3FC2849D" w14:textId="58628231" w:rsidR="00C31155" w:rsidRDefault="00C31155" w:rsidP="00730E8E">
      <w:pPr>
        <w:pStyle w:val="MRheading1"/>
        <w:spacing w:line="240" w:lineRule="auto"/>
      </w:pPr>
      <w:r>
        <w:t>Environmental Requirements</w:t>
      </w:r>
    </w:p>
    <w:p w14:paraId="47D79C07" w14:textId="7EFAEB14" w:rsidR="00C31155" w:rsidRPr="00C31155" w:rsidRDefault="7F50447A"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and all partners involved in the </w:t>
      </w:r>
      <w:r w:rsidR="4C574C7F" w:rsidRPr="7D6BE9DE">
        <w:rPr>
          <w:rFonts w:cs="Arial"/>
        </w:rPr>
        <w:t>GHWP</w:t>
      </w:r>
      <w:r w:rsidRPr="7D6BE9DE">
        <w:rPr>
          <w:rFonts w:cs="Arial"/>
        </w:rPr>
        <w:t xml:space="preserve"> project shall perform the </w:t>
      </w:r>
      <w:r w:rsidR="4C574C7F" w:rsidRPr="7D6BE9DE">
        <w:rPr>
          <w:rFonts w:cs="Arial"/>
        </w:rPr>
        <w:t>GHWP</w:t>
      </w:r>
      <w:r w:rsidRPr="7D6BE9DE">
        <w:rPr>
          <w:rFonts w:cs="Arial"/>
        </w:rPr>
        <w:t xml:space="preserve"> in a way so as to conserve energy, water, wood, paper and other resources, reduce waste and phase out the use of ozone depleting substances and minimise the release of greenhouse gases, volatile organic compounds and other substances damaging to health and the environment. </w:t>
      </w:r>
    </w:p>
    <w:p w14:paraId="77578713" w14:textId="4FE6A86F" w:rsidR="00C31155" w:rsidRPr="00C31155" w:rsidRDefault="7F50447A"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and all partners involved in the </w:t>
      </w:r>
      <w:r w:rsidR="4C574C7F" w:rsidRPr="7D6BE9DE">
        <w:rPr>
          <w:rFonts w:cs="Arial"/>
        </w:rPr>
        <w:t>GHWP</w:t>
      </w:r>
      <w:r w:rsidRPr="7D6BE9DE">
        <w:rPr>
          <w:rFonts w:cs="Arial"/>
        </w:rPr>
        <w:t xml:space="preserve">  shall pay due regard to the use of recycled products, so long as they are not detrimental to the provision of the </w:t>
      </w:r>
      <w:r w:rsidR="4C574C7F" w:rsidRPr="7D6BE9DE">
        <w:rPr>
          <w:rFonts w:cs="Arial"/>
        </w:rPr>
        <w:t>GHWP</w:t>
      </w:r>
      <w:r w:rsidRPr="7D6BE9DE">
        <w:rPr>
          <w:rFonts w:cs="Arial"/>
        </w:rPr>
        <w:t xml:space="preserve"> or the environment, to include the use of all packaging, which should be capable of recovery for re-use or recycling.</w:t>
      </w:r>
    </w:p>
    <w:p w14:paraId="73E5E753" w14:textId="6AA9CF75" w:rsidR="00C31155" w:rsidRDefault="7F50447A" w:rsidP="7D6BE9DE">
      <w:pPr>
        <w:pStyle w:val="MRheading2"/>
        <w:spacing w:line="240" w:lineRule="auto"/>
        <w:rPr>
          <w:rFonts w:cs="Arial"/>
        </w:rPr>
      </w:pPr>
      <w:r w:rsidRPr="37B5BE4C">
        <w:rPr>
          <w:rFonts w:cs="Arial"/>
        </w:rPr>
        <w:t xml:space="preserve">The </w:t>
      </w:r>
      <w:r w:rsidR="7D62A095" w:rsidRPr="37B5BE4C">
        <w:rPr>
          <w:rFonts w:cs="Arial"/>
        </w:rPr>
        <w:t>Lead Partner</w:t>
      </w:r>
      <w:r w:rsidRPr="37B5BE4C">
        <w:rPr>
          <w:rFonts w:cs="Arial"/>
        </w:rPr>
        <w:t xml:space="preserve"> and all partners involved in the </w:t>
      </w:r>
      <w:r w:rsidR="4C574C7F" w:rsidRPr="37B5BE4C">
        <w:rPr>
          <w:rFonts w:cs="Arial"/>
        </w:rPr>
        <w:t>GHWP</w:t>
      </w:r>
      <w:r w:rsidRPr="37B5BE4C">
        <w:rPr>
          <w:rFonts w:cs="Arial"/>
        </w:rPr>
        <w:t xml:space="preserve"> project shall take all possible precautions to ensure that any equipment and materials used in the provision of the </w:t>
      </w:r>
      <w:r w:rsidR="4C574C7F" w:rsidRPr="37B5BE4C">
        <w:rPr>
          <w:rFonts w:cs="Arial"/>
        </w:rPr>
        <w:lastRenderedPageBreak/>
        <w:t>GHWP</w:t>
      </w:r>
      <w:r w:rsidR="00C97EC3">
        <w:rPr>
          <w:rFonts w:cs="Arial"/>
        </w:rPr>
        <w:t xml:space="preserve"> project</w:t>
      </w:r>
      <w:r w:rsidRPr="37B5BE4C">
        <w:rPr>
          <w:rFonts w:cs="Arial"/>
        </w:rPr>
        <w:t xml:space="preserve"> do not contain chlorofluorocarbons, halons or any other damaging substances, unless unavoidable, in which case THET shall be notified in advance of their use. The </w:t>
      </w:r>
      <w:r w:rsidR="7D62A095" w:rsidRPr="37B5BE4C">
        <w:rPr>
          <w:rFonts w:cs="Arial"/>
        </w:rPr>
        <w:t>Lead Partner</w:t>
      </w:r>
      <w:r w:rsidRPr="37B5BE4C">
        <w:rPr>
          <w:rFonts w:cs="Arial"/>
        </w:rPr>
        <w:t xml:space="preserve"> and all partners involved in t</w:t>
      </w:r>
      <w:r w:rsidR="3ED1A0C5" w:rsidRPr="37B5BE4C">
        <w:rPr>
          <w:rFonts w:cs="Arial"/>
        </w:rPr>
        <w:t xml:space="preserve">he </w:t>
      </w:r>
      <w:r w:rsidRPr="37B5BE4C">
        <w:rPr>
          <w:rFonts w:cs="Arial"/>
        </w:rPr>
        <w:t xml:space="preserve"> </w:t>
      </w:r>
      <w:r w:rsidR="4C574C7F" w:rsidRPr="37B5BE4C">
        <w:rPr>
          <w:rFonts w:cs="Arial"/>
        </w:rPr>
        <w:t>GHWP</w:t>
      </w:r>
      <w:r w:rsidR="07FC1329" w:rsidRPr="37B5BE4C">
        <w:rPr>
          <w:rFonts w:cs="Arial"/>
        </w:rPr>
        <w:t xml:space="preserve">rogramme </w:t>
      </w:r>
      <w:r w:rsidRPr="37B5BE4C">
        <w:rPr>
          <w:rFonts w:cs="Arial"/>
        </w:rPr>
        <w:t xml:space="preserve"> endeavour to reduce fuel emissions wherever possible in carrying out the </w:t>
      </w:r>
      <w:r w:rsidR="478CAD9E" w:rsidRPr="37B5BE4C">
        <w:rPr>
          <w:rFonts w:cs="Arial"/>
        </w:rPr>
        <w:t xml:space="preserve">GHWProgramme. </w:t>
      </w:r>
    </w:p>
    <w:p w14:paraId="0F88BA23" w14:textId="4ABB2FD4" w:rsidR="00901D48" w:rsidRDefault="00901D48" w:rsidP="00901D48">
      <w:pPr>
        <w:pStyle w:val="MRheading1"/>
      </w:pPr>
      <w:bookmarkStart w:id="69" w:name="_Ref145667952"/>
      <w:r>
        <w:t>Prevention of Bribery</w:t>
      </w:r>
      <w:bookmarkEnd w:id="69"/>
    </w:p>
    <w:p w14:paraId="1AC08BE3" w14:textId="705CAB79" w:rsidR="00901D48" w:rsidRPr="00901D48" w:rsidRDefault="00901D48" w:rsidP="00901D48">
      <w:pPr>
        <w:pStyle w:val="MRheading2"/>
        <w:spacing w:line="240" w:lineRule="auto"/>
        <w:rPr>
          <w:rFonts w:cs="Arial"/>
        </w:rPr>
      </w:pPr>
      <w:r w:rsidRPr="00901D48">
        <w:rPr>
          <w:rFonts w:cs="Arial"/>
        </w:rPr>
        <w:t xml:space="preserve">The </w:t>
      </w:r>
      <w:r>
        <w:rPr>
          <w:rFonts w:cs="Arial"/>
        </w:rPr>
        <w:t>Lead Partner</w:t>
      </w:r>
      <w:r w:rsidRPr="00901D48">
        <w:rPr>
          <w:rFonts w:cs="Arial"/>
        </w:rPr>
        <w:t xml:space="preserve">: </w:t>
      </w:r>
    </w:p>
    <w:p w14:paraId="4844C008" w14:textId="77777777" w:rsidR="00901D48" w:rsidRPr="00901D48" w:rsidRDefault="00901D48" w:rsidP="00901D48">
      <w:pPr>
        <w:pStyle w:val="MRheading3"/>
        <w:spacing w:line="240" w:lineRule="auto"/>
      </w:pPr>
      <w:r w:rsidRPr="00901D48">
        <w:t>shall not, and shall procure that its staff, agents, consultants and sub-contractors shall not, in connection with this Agreement, commit a Prohibited Act;</w:t>
      </w:r>
    </w:p>
    <w:p w14:paraId="44F48AFD" w14:textId="77777777" w:rsidR="00901D48" w:rsidRPr="00901D48" w:rsidRDefault="00901D48" w:rsidP="00901D48">
      <w:pPr>
        <w:pStyle w:val="MRheading3"/>
        <w:spacing w:line="240" w:lineRule="auto"/>
      </w:pPr>
      <w:r w:rsidRPr="00901D48">
        <w:t>shall not engage in any activity, practice or conduct which would constitute an offence under sections 1, 2 or 6 of the Bribery Act 2010 if such activity, practice or conduct has been carried out in the UK;</w:t>
      </w:r>
    </w:p>
    <w:p w14:paraId="2AFB7694" w14:textId="518CE1DB" w:rsidR="00901D48" w:rsidRPr="00901D48" w:rsidRDefault="00901D48" w:rsidP="00901D48">
      <w:pPr>
        <w:pStyle w:val="MRheading3"/>
        <w:spacing w:line="240" w:lineRule="auto"/>
      </w:pPr>
      <w:r w:rsidRPr="00901D48">
        <w:t xml:space="preserve">shall comply with the </w:t>
      </w:r>
      <w:r>
        <w:t>THET's</w:t>
      </w:r>
      <w:r w:rsidRPr="00901D48">
        <w:t xml:space="preserve"> anti-bribery policies, as updated from time to time and notified to the </w:t>
      </w:r>
      <w:r>
        <w:t>Lead Partner</w:t>
      </w:r>
      <w:r w:rsidRPr="00901D48">
        <w:t>;</w:t>
      </w:r>
    </w:p>
    <w:p w14:paraId="14A6F456" w14:textId="7B6E3856" w:rsidR="00901D48" w:rsidRPr="00901D48" w:rsidRDefault="00901D48" w:rsidP="00901D48">
      <w:pPr>
        <w:pStyle w:val="MRheading3"/>
        <w:spacing w:line="240" w:lineRule="auto"/>
      </w:pPr>
      <w:r w:rsidRPr="00901D48">
        <w:t xml:space="preserve">shall have and shall maintain throughout the term of this Agreement its own policies and procedures, including adequate procedures under the Bribery Act 2010, to ensure compliance with </w:t>
      </w:r>
      <w:r>
        <w:t xml:space="preserve">paragraph </w:t>
      </w:r>
      <w:r>
        <w:fldChar w:fldCharType="begin"/>
      </w:r>
      <w:r>
        <w:instrText xml:space="preserve"> REF _Ref145667952 \r \h </w:instrText>
      </w:r>
      <w:r>
        <w:fldChar w:fldCharType="separate"/>
      </w:r>
      <w:r w:rsidR="006B5F2E">
        <w:t>33</w:t>
      </w:r>
      <w:r>
        <w:fldChar w:fldCharType="end"/>
      </w:r>
      <w:r w:rsidRPr="00901D48">
        <w:t>;</w:t>
      </w:r>
    </w:p>
    <w:p w14:paraId="44BDB8D8" w14:textId="3B564013" w:rsidR="00901D48" w:rsidRPr="00901D48" w:rsidRDefault="00901D48" w:rsidP="00901D48">
      <w:pPr>
        <w:pStyle w:val="MRheading3"/>
        <w:spacing w:line="240" w:lineRule="auto"/>
      </w:pPr>
      <w:r w:rsidRPr="00901D48">
        <w:t xml:space="preserve">shall promptly report to </w:t>
      </w:r>
      <w:r>
        <w:t>THET</w:t>
      </w:r>
      <w:r w:rsidRPr="00901D48">
        <w:t xml:space="preserve"> any request or demand for any undue financial or other advantage of any kind received by the </w:t>
      </w:r>
      <w:r>
        <w:t>Lead Partner</w:t>
      </w:r>
      <w:r w:rsidRPr="00901D48">
        <w:t xml:space="preserve"> in connection with the Funded </w:t>
      </w:r>
      <w:r>
        <w:t>Activities</w:t>
      </w:r>
      <w:r w:rsidRPr="00901D48">
        <w:t>;</w:t>
      </w:r>
    </w:p>
    <w:p w14:paraId="02307D8C" w14:textId="19C020DF" w:rsidR="00901D48" w:rsidRPr="00901D48" w:rsidRDefault="00901D48" w:rsidP="00901D48">
      <w:pPr>
        <w:pStyle w:val="MRheading3"/>
        <w:spacing w:line="240" w:lineRule="auto"/>
      </w:pPr>
      <w:r>
        <w:t xml:space="preserve">shall immediately notify THET </w:t>
      </w:r>
      <w:r w:rsidRPr="00901D48">
        <w:t xml:space="preserve">in writing if a foreign public official becomes an officer or employee of the </w:t>
      </w:r>
      <w:r>
        <w:t>Lead Partner</w:t>
      </w:r>
      <w:r w:rsidRPr="00901D48">
        <w:t xml:space="preserve"> or acquires a direct or indirect interest in the </w:t>
      </w:r>
      <w:r>
        <w:t>Lead Partner</w:t>
      </w:r>
      <w:r w:rsidRPr="00901D48">
        <w:t xml:space="preserve">, and the </w:t>
      </w:r>
      <w:r>
        <w:t>Lead Partner</w:t>
      </w:r>
      <w:r w:rsidRPr="00901D48">
        <w:t xml:space="preserve"> warrants that it has no foreign public officials as officers, employees or direct or indirect owners at the date of this Agreement;</w:t>
      </w:r>
    </w:p>
    <w:p w14:paraId="3F28BD09" w14:textId="1C089050" w:rsidR="00901D48" w:rsidRPr="00901D48" w:rsidRDefault="00901D48" w:rsidP="00901D48">
      <w:pPr>
        <w:pStyle w:val="MRheading3"/>
        <w:spacing w:line="240" w:lineRule="auto"/>
      </w:pPr>
      <w:r w:rsidRPr="00901D48">
        <w:t xml:space="preserve">shall, if requested, provide </w:t>
      </w:r>
      <w:r>
        <w:t>THET</w:t>
      </w:r>
      <w:r w:rsidRPr="00901D48">
        <w:t xml:space="preserve"> with any reasonable assistance, at the </w:t>
      </w:r>
      <w:r>
        <w:t>THET</w:t>
      </w:r>
      <w:r w:rsidRPr="00901D48">
        <w:t>’s</w:t>
      </w:r>
      <w:r>
        <w:t xml:space="preserve"> reasonable cost, to enable THET </w:t>
      </w:r>
      <w:r w:rsidRPr="00901D48">
        <w:t>to perform any activity required by any relevant government or agency in any relevant jurisdiction for the purpose of compliance with the Bribery Act;</w:t>
      </w:r>
    </w:p>
    <w:p w14:paraId="37C4162E" w14:textId="5B7B3D33" w:rsidR="00901D48" w:rsidRPr="00901D48" w:rsidRDefault="00901D48" w:rsidP="00901D48">
      <w:pPr>
        <w:pStyle w:val="MRheading3"/>
        <w:spacing w:line="240" w:lineRule="auto"/>
      </w:pPr>
      <w:r w:rsidRPr="00901D48">
        <w:t xml:space="preserve">within one (1) month of the Commencement Date, and annually thereafter, certify to </w:t>
      </w:r>
      <w:r>
        <w:t>THET</w:t>
      </w:r>
      <w:r w:rsidRPr="00901D48">
        <w:t xml:space="preserve"> in writing (such certification to be signed by an officer of the </w:t>
      </w:r>
      <w:r>
        <w:t>Lead Partner</w:t>
      </w:r>
      <w:r w:rsidRPr="00901D48">
        <w:t xml:space="preserve">) compliance with this </w:t>
      </w:r>
      <w:r>
        <w:t xml:space="preserve">paragraph </w:t>
      </w:r>
      <w:r>
        <w:fldChar w:fldCharType="begin"/>
      </w:r>
      <w:r>
        <w:instrText xml:space="preserve"> REF _Ref145667952 \r \h </w:instrText>
      </w:r>
      <w:r>
        <w:fldChar w:fldCharType="separate"/>
      </w:r>
      <w:r w:rsidR="006B5F2E">
        <w:t>33</w:t>
      </w:r>
      <w:r>
        <w:fldChar w:fldCharType="end"/>
      </w:r>
      <w:r>
        <w:t xml:space="preserve"> </w:t>
      </w:r>
      <w:r w:rsidRPr="00901D48">
        <w:t xml:space="preserve">by the </w:t>
      </w:r>
      <w:r>
        <w:t>Lead Partner</w:t>
      </w:r>
      <w:r w:rsidRPr="00901D48">
        <w:t xml:space="preserve"> and all persons associated with it or other persons who are supplying goods or services in connection with this Agreement. The </w:t>
      </w:r>
      <w:r>
        <w:t>Lead Partner</w:t>
      </w:r>
      <w:r w:rsidRPr="00901D48">
        <w:t xml:space="preserve"> shall provide such supporting evidence of compliance as </w:t>
      </w:r>
      <w:r>
        <w:t>THET</w:t>
      </w:r>
      <w:r w:rsidRPr="00901D48">
        <w:t xml:space="preserve"> may reasonably request.</w:t>
      </w:r>
    </w:p>
    <w:p w14:paraId="0A26C4AA" w14:textId="262255B1" w:rsidR="00901D48" w:rsidRPr="00901D48" w:rsidRDefault="00901D48" w:rsidP="00901D48">
      <w:pPr>
        <w:pStyle w:val="MRheading2"/>
        <w:spacing w:line="240" w:lineRule="auto"/>
        <w:rPr>
          <w:rFonts w:cs="Arial"/>
        </w:rPr>
      </w:pPr>
      <w:r w:rsidRPr="00901D48">
        <w:rPr>
          <w:rFonts w:cs="Arial"/>
        </w:rPr>
        <w:t xml:space="preserve">For the purpose of this </w:t>
      </w:r>
      <w:r>
        <w:rPr>
          <w:rFonts w:cs="Arial"/>
        </w:rPr>
        <w:t xml:space="preserve">paragraph </w:t>
      </w:r>
      <w:r>
        <w:rPr>
          <w:rFonts w:cs="Arial"/>
        </w:rPr>
        <w:fldChar w:fldCharType="begin"/>
      </w:r>
      <w:r>
        <w:rPr>
          <w:rFonts w:cs="Arial"/>
        </w:rPr>
        <w:instrText xml:space="preserve"> REF _Ref145667952 \r \h </w:instrText>
      </w:r>
      <w:r>
        <w:rPr>
          <w:rFonts w:cs="Arial"/>
        </w:rPr>
      </w:r>
      <w:r>
        <w:rPr>
          <w:rFonts w:cs="Arial"/>
        </w:rPr>
        <w:fldChar w:fldCharType="separate"/>
      </w:r>
      <w:r w:rsidR="006B5F2E">
        <w:rPr>
          <w:rFonts w:cs="Arial"/>
        </w:rPr>
        <w:t>33</w:t>
      </w:r>
      <w:r>
        <w:rPr>
          <w:rFonts w:cs="Arial"/>
        </w:rPr>
        <w:fldChar w:fldCharType="end"/>
      </w:r>
      <w:r w:rsidRPr="00901D48">
        <w:rPr>
          <w:rFonts w:cs="Arial"/>
        </w:rPr>
        <w:t xml:space="preserve">, the meaning of adequate procedures and foreign public official and whether a person is associated with another person shall be determined in accordance with section 7(2) of the Bribery Act 2010 (and any guidance </w:t>
      </w:r>
      <w:r w:rsidRPr="00901D48">
        <w:rPr>
          <w:rFonts w:cs="Arial"/>
        </w:rPr>
        <w:lastRenderedPageBreak/>
        <w:t xml:space="preserve">issued under section 9 of that Act), sections 6(5) and 6(6) of that Act and section 8 of that Act respectively. For the purpose of this </w:t>
      </w:r>
      <w:r w:rsidR="00783DB7">
        <w:rPr>
          <w:rFonts w:cs="Arial"/>
        </w:rPr>
        <w:t xml:space="preserve">paragraph </w:t>
      </w:r>
      <w:r w:rsidR="00783DB7">
        <w:rPr>
          <w:rFonts w:cs="Arial"/>
        </w:rPr>
        <w:fldChar w:fldCharType="begin"/>
      </w:r>
      <w:r w:rsidR="00783DB7">
        <w:rPr>
          <w:rFonts w:cs="Arial"/>
        </w:rPr>
        <w:instrText xml:space="preserve"> REF _Ref145667952 \r \h </w:instrText>
      </w:r>
      <w:r w:rsidR="00783DB7">
        <w:rPr>
          <w:rFonts w:cs="Arial"/>
        </w:rPr>
      </w:r>
      <w:r w:rsidR="00783DB7">
        <w:rPr>
          <w:rFonts w:cs="Arial"/>
        </w:rPr>
        <w:fldChar w:fldCharType="separate"/>
      </w:r>
      <w:r w:rsidR="006B5F2E">
        <w:rPr>
          <w:rFonts w:cs="Arial"/>
        </w:rPr>
        <w:t>33</w:t>
      </w:r>
      <w:r w:rsidR="00783DB7">
        <w:rPr>
          <w:rFonts w:cs="Arial"/>
        </w:rPr>
        <w:fldChar w:fldCharType="end"/>
      </w:r>
      <w:r w:rsidRPr="00901D48">
        <w:rPr>
          <w:rFonts w:cs="Arial"/>
        </w:rPr>
        <w:t xml:space="preserve">, a person associated with the </w:t>
      </w:r>
      <w:r w:rsidR="00783DB7">
        <w:rPr>
          <w:rFonts w:cs="Arial"/>
        </w:rPr>
        <w:t>Lead Partner</w:t>
      </w:r>
      <w:r w:rsidRPr="00901D48">
        <w:rPr>
          <w:rFonts w:cs="Arial"/>
        </w:rPr>
        <w:t xml:space="preserve"> includes any agent, delegate or subcontractor of the Agent.</w:t>
      </w:r>
    </w:p>
    <w:p w14:paraId="62ED9A78" w14:textId="77777777" w:rsidR="00EE56A7" w:rsidRPr="00C31155" w:rsidRDefault="00EE56A7" w:rsidP="00730E8E">
      <w:pPr>
        <w:widowControl w:val="0"/>
        <w:autoSpaceDE w:val="0"/>
        <w:autoSpaceDN w:val="0"/>
        <w:adjustRightInd w:val="0"/>
        <w:spacing w:before="120" w:after="120" w:line="240" w:lineRule="auto"/>
        <w:jc w:val="both"/>
        <w:rPr>
          <w:rFonts w:ascii="Arial" w:eastAsia="Times New Roman" w:hAnsi="Arial" w:cs="Arial"/>
          <w:lang w:eastAsia="en-GB"/>
        </w:rPr>
      </w:pPr>
    </w:p>
    <w:p w14:paraId="504BC8A2" w14:textId="46475A14" w:rsidR="00EE56A7" w:rsidRPr="002B1D5A" w:rsidRDefault="00EE56A7" w:rsidP="00730E8E">
      <w:pPr>
        <w:widowControl w:val="0"/>
        <w:autoSpaceDE w:val="0"/>
        <w:autoSpaceDN w:val="0"/>
        <w:adjustRightInd w:val="0"/>
        <w:spacing w:before="120" w:after="120" w:line="240" w:lineRule="auto"/>
        <w:jc w:val="both"/>
        <w:rPr>
          <w:rFonts w:ascii="Arial" w:hAnsi="Arial" w:cs="Arial"/>
        </w:rPr>
      </w:pPr>
      <w:r w:rsidRPr="37B5BE4C">
        <w:rPr>
          <w:rFonts w:ascii="Arial" w:hAnsi="Arial" w:cs="Arial"/>
        </w:rPr>
        <w:t xml:space="preserve">If the terms and conditions set out in this Agreement are acceptable to the </w:t>
      </w:r>
      <w:r w:rsidR="00632356" w:rsidRPr="37B5BE4C">
        <w:rPr>
          <w:rFonts w:ascii="Arial" w:hAnsi="Arial" w:cs="Arial"/>
        </w:rPr>
        <w:t>Lead Partner</w:t>
      </w:r>
      <w:r w:rsidRPr="37B5BE4C">
        <w:rPr>
          <w:rFonts w:ascii="Arial" w:hAnsi="Arial" w:cs="Arial"/>
        </w:rPr>
        <w:t>, please sign and date where indicated below, retain one copy for your records and return the other signed copy to THET at the following address:</w:t>
      </w:r>
      <w:r w:rsidR="170273CA" w:rsidRPr="37B5BE4C">
        <w:rPr>
          <w:rFonts w:ascii="Arial" w:hAnsi="Arial" w:cs="Arial"/>
        </w:rPr>
        <w:t xml:space="preserve"> </w:t>
      </w:r>
      <w:r w:rsidR="4507456F" w:rsidRPr="37B5BE4C">
        <w:rPr>
          <w:rFonts w:ascii="Arial" w:hAnsi="Arial" w:cs="Arial"/>
        </w:rPr>
        <w:t>3</w:t>
      </w:r>
      <w:r w:rsidR="4507456F" w:rsidRPr="37B5BE4C">
        <w:rPr>
          <w:rFonts w:ascii="Arial" w:hAnsi="Arial" w:cs="Arial"/>
          <w:vertAlign w:val="superscript"/>
        </w:rPr>
        <w:t>rd</w:t>
      </w:r>
      <w:r w:rsidR="4507456F" w:rsidRPr="37B5BE4C">
        <w:rPr>
          <w:rFonts w:ascii="Arial" w:hAnsi="Arial" w:cs="Arial"/>
        </w:rPr>
        <w:t xml:space="preserve"> Floor, 86-90 Paul Street, London, EC2A 4NE</w:t>
      </w:r>
      <w:r w:rsidRPr="37B5BE4C">
        <w:rPr>
          <w:rFonts w:ascii="Arial" w:hAnsi="Arial" w:cs="Arial"/>
        </w:rPr>
        <w:t xml:space="preserve"> </w:t>
      </w:r>
    </w:p>
    <w:p w14:paraId="39315F81" w14:textId="77777777" w:rsidR="00CE501E" w:rsidRDefault="00CE501E" w:rsidP="00730E8E">
      <w:pPr>
        <w:widowControl w:val="0"/>
        <w:autoSpaceDE w:val="0"/>
        <w:autoSpaceDN w:val="0"/>
        <w:adjustRightInd w:val="0"/>
        <w:spacing w:before="120" w:after="120" w:line="240" w:lineRule="auto"/>
        <w:rPr>
          <w:rFonts w:ascii="Arial" w:hAnsi="Arial" w:cs="Arial"/>
        </w:rPr>
      </w:pPr>
    </w:p>
    <w:p w14:paraId="36299A7A" w14:textId="77777777" w:rsidR="00CE501E" w:rsidRDefault="00CE501E" w:rsidP="00730E8E">
      <w:pPr>
        <w:widowControl w:val="0"/>
        <w:autoSpaceDE w:val="0"/>
        <w:autoSpaceDN w:val="0"/>
        <w:adjustRightInd w:val="0"/>
        <w:spacing w:before="120" w:after="120" w:line="240" w:lineRule="auto"/>
        <w:rPr>
          <w:rFonts w:ascii="Arial" w:hAnsi="Arial" w:cs="Arial"/>
        </w:rPr>
      </w:pPr>
    </w:p>
    <w:p w14:paraId="75180027" w14:textId="77777777" w:rsidR="00CE501E" w:rsidRDefault="00CE501E" w:rsidP="00730E8E">
      <w:pPr>
        <w:widowControl w:val="0"/>
        <w:autoSpaceDE w:val="0"/>
        <w:autoSpaceDN w:val="0"/>
        <w:adjustRightInd w:val="0"/>
        <w:spacing w:before="120" w:after="120" w:line="240" w:lineRule="auto"/>
        <w:rPr>
          <w:rFonts w:ascii="Arial" w:hAnsi="Arial" w:cs="Arial"/>
        </w:rPr>
      </w:pPr>
    </w:p>
    <w:p w14:paraId="065CBCEE" w14:textId="49ECD31B" w:rsidR="00EE56A7" w:rsidRDefault="00EE56A7" w:rsidP="00730E8E">
      <w:pPr>
        <w:widowControl w:val="0"/>
        <w:autoSpaceDE w:val="0"/>
        <w:autoSpaceDN w:val="0"/>
        <w:adjustRightInd w:val="0"/>
        <w:spacing w:before="120" w:after="120" w:line="240" w:lineRule="auto"/>
        <w:rPr>
          <w:rFonts w:ascii="Arial" w:hAnsi="Arial" w:cs="Arial"/>
        </w:rPr>
      </w:pPr>
      <w:r>
        <w:rPr>
          <w:rFonts w:ascii="Arial" w:hAnsi="Arial" w:cs="Arial"/>
        </w:rPr>
        <w:t>Signatures:</w:t>
      </w:r>
    </w:p>
    <w:tbl>
      <w:tblPr>
        <w:tblW w:w="0" w:type="auto"/>
        <w:tblLook w:val="01E0" w:firstRow="1" w:lastRow="1" w:firstColumn="1" w:lastColumn="1" w:noHBand="0" w:noVBand="0"/>
      </w:tblPr>
      <w:tblGrid>
        <w:gridCol w:w="4621"/>
        <w:gridCol w:w="4621"/>
      </w:tblGrid>
      <w:tr w:rsidR="00EE56A7" w:rsidRPr="00245143" w14:paraId="5CDEC5A1" w14:textId="77777777" w:rsidTr="00B0370E">
        <w:tc>
          <w:tcPr>
            <w:tcW w:w="4621" w:type="dxa"/>
            <w:shd w:val="clear" w:color="auto" w:fill="auto"/>
          </w:tcPr>
          <w:p w14:paraId="2EC8B447" w14:textId="77777777" w:rsidR="00EE56A7" w:rsidRPr="00245143" w:rsidRDefault="00EE56A7" w:rsidP="00730E8E">
            <w:pPr>
              <w:widowControl w:val="0"/>
              <w:autoSpaceDE w:val="0"/>
              <w:autoSpaceDN w:val="0"/>
              <w:adjustRightInd w:val="0"/>
              <w:spacing w:before="120" w:after="120" w:line="240" w:lineRule="auto"/>
              <w:rPr>
                <w:rFonts w:ascii="Arial" w:hAnsi="Arial" w:cs="Arial"/>
              </w:rPr>
            </w:pPr>
            <w:r w:rsidRPr="00245143">
              <w:rPr>
                <w:rFonts w:ascii="Arial" w:hAnsi="Arial" w:cs="Arial"/>
              </w:rPr>
              <w:t>For and on behalf of THET</w:t>
            </w:r>
          </w:p>
          <w:p w14:paraId="64B8DC03" w14:textId="77777777" w:rsidR="00EE56A7" w:rsidRDefault="00EE56A7" w:rsidP="00730E8E">
            <w:pPr>
              <w:widowControl w:val="0"/>
              <w:autoSpaceDE w:val="0"/>
              <w:autoSpaceDN w:val="0"/>
              <w:adjustRightInd w:val="0"/>
              <w:spacing w:before="120" w:after="120" w:line="240" w:lineRule="auto"/>
              <w:rPr>
                <w:rFonts w:ascii="Arial" w:hAnsi="Arial" w:cs="Arial"/>
              </w:rPr>
            </w:pPr>
            <w:r w:rsidRPr="00245143">
              <w:rPr>
                <w:rFonts w:ascii="Arial" w:hAnsi="Arial" w:cs="Arial"/>
              </w:rPr>
              <w:t>Signed:</w:t>
            </w:r>
          </w:p>
          <w:p w14:paraId="24A565C3" w14:textId="77777777" w:rsidR="002D55B2" w:rsidRPr="00245143" w:rsidRDefault="002D55B2" w:rsidP="00730E8E">
            <w:pPr>
              <w:widowControl w:val="0"/>
              <w:autoSpaceDE w:val="0"/>
              <w:autoSpaceDN w:val="0"/>
              <w:adjustRightInd w:val="0"/>
              <w:spacing w:before="120" w:after="120" w:line="240" w:lineRule="auto"/>
              <w:rPr>
                <w:rFonts w:ascii="Arial" w:hAnsi="Arial" w:cs="Arial"/>
              </w:rPr>
            </w:pPr>
          </w:p>
          <w:p w14:paraId="22DD3F3A" w14:textId="71D387A0" w:rsidR="00EE56A7" w:rsidRPr="00245143" w:rsidRDefault="00EE56A7" w:rsidP="00730E8E">
            <w:pPr>
              <w:widowControl w:val="0"/>
              <w:autoSpaceDE w:val="0"/>
              <w:autoSpaceDN w:val="0"/>
              <w:adjustRightInd w:val="0"/>
              <w:spacing w:before="120" w:after="120" w:line="240" w:lineRule="auto"/>
              <w:rPr>
                <w:rFonts w:ascii="Arial" w:hAnsi="Arial" w:cs="Arial"/>
              </w:rPr>
            </w:pPr>
            <w:r w:rsidRPr="00245143">
              <w:rPr>
                <w:rFonts w:ascii="Arial" w:hAnsi="Arial" w:cs="Arial"/>
              </w:rPr>
              <w:t>Name:</w:t>
            </w:r>
            <w:r w:rsidR="00776A86">
              <w:rPr>
                <w:rFonts w:ascii="Arial" w:hAnsi="Arial" w:cs="Arial"/>
              </w:rPr>
              <w:t xml:space="preserve"> Ben Simms</w:t>
            </w:r>
          </w:p>
          <w:p w14:paraId="1CCF4946" w14:textId="5FA9DD86" w:rsidR="00EE56A7" w:rsidRPr="00245143" w:rsidRDefault="00EE56A7" w:rsidP="00730E8E">
            <w:pPr>
              <w:widowControl w:val="0"/>
              <w:autoSpaceDE w:val="0"/>
              <w:autoSpaceDN w:val="0"/>
              <w:adjustRightInd w:val="0"/>
              <w:spacing w:before="120" w:after="120" w:line="240" w:lineRule="auto"/>
              <w:rPr>
                <w:rFonts w:ascii="Arial" w:hAnsi="Arial" w:cs="Arial"/>
              </w:rPr>
            </w:pPr>
            <w:r w:rsidRPr="00245143">
              <w:rPr>
                <w:rFonts w:ascii="Arial" w:hAnsi="Arial" w:cs="Arial"/>
              </w:rPr>
              <w:t>Position:</w:t>
            </w:r>
            <w:r w:rsidR="004D0325">
              <w:t xml:space="preserve"> </w:t>
            </w:r>
            <w:r w:rsidR="004D0325" w:rsidRPr="004D0325">
              <w:rPr>
                <w:rFonts w:ascii="Arial" w:hAnsi="Arial" w:cs="Arial"/>
              </w:rPr>
              <w:t>Chief Executive Officer</w:t>
            </w:r>
          </w:p>
          <w:p w14:paraId="573AB48E" w14:textId="77777777" w:rsidR="00EE56A7" w:rsidRPr="00245143" w:rsidRDefault="00EE56A7" w:rsidP="00730E8E">
            <w:pPr>
              <w:widowControl w:val="0"/>
              <w:autoSpaceDE w:val="0"/>
              <w:autoSpaceDN w:val="0"/>
              <w:adjustRightInd w:val="0"/>
              <w:spacing w:before="120" w:after="120" w:line="240" w:lineRule="auto"/>
              <w:rPr>
                <w:rFonts w:ascii="Arial" w:hAnsi="Arial" w:cs="Arial"/>
              </w:rPr>
            </w:pPr>
            <w:r w:rsidRPr="00245143">
              <w:rPr>
                <w:rFonts w:ascii="Arial" w:hAnsi="Arial" w:cs="Arial"/>
              </w:rPr>
              <w:t>Date:</w:t>
            </w:r>
          </w:p>
        </w:tc>
        <w:tc>
          <w:tcPr>
            <w:tcW w:w="4621" w:type="dxa"/>
            <w:shd w:val="clear" w:color="auto" w:fill="auto"/>
          </w:tcPr>
          <w:p w14:paraId="022D9949" w14:textId="3BB2A473" w:rsidR="00EE56A7" w:rsidRPr="00431CA5" w:rsidRDefault="00EE56A7" w:rsidP="00730E8E">
            <w:pPr>
              <w:widowControl w:val="0"/>
              <w:autoSpaceDE w:val="0"/>
              <w:autoSpaceDN w:val="0"/>
              <w:adjustRightInd w:val="0"/>
              <w:spacing w:before="120" w:after="120" w:line="240" w:lineRule="auto"/>
              <w:rPr>
                <w:rFonts w:ascii="Arial" w:hAnsi="Arial" w:cs="Arial"/>
              </w:rPr>
            </w:pPr>
            <w:r w:rsidRPr="00431CA5">
              <w:rPr>
                <w:rFonts w:ascii="Arial" w:hAnsi="Arial" w:cs="Arial"/>
              </w:rPr>
              <w:t xml:space="preserve">For and on behalf of the </w:t>
            </w:r>
            <w:r w:rsidR="00632356" w:rsidRPr="00431CA5">
              <w:rPr>
                <w:rFonts w:ascii="Arial" w:hAnsi="Arial" w:cs="Arial"/>
              </w:rPr>
              <w:t>Lead Partner</w:t>
            </w:r>
          </w:p>
          <w:p w14:paraId="2A5E3600" w14:textId="77777777" w:rsidR="00EE56A7" w:rsidRDefault="00EE56A7" w:rsidP="00730E8E">
            <w:pPr>
              <w:widowControl w:val="0"/>
              <w:autoSpaceDE w:val="0"/>
              <w:autoSpaceDN w:val="0"/>
              <w:adjustRightInd w:val="0"/>
              <w:spacing w:before="120" w:after="120" w:line="240" w:lineRule="auto"/>
              <w:rPr>
                <w:rFonts w:ascii="Arial" w:hAnsi="Arial" w:cs="Arial"/>
              </w:rPr>
            </w:pPr>
            <w:r w:rsidRPr="00431CA5">
              <w:rPr>
                <w:rFonts w:ascii="Arial" w:hAnsi="Arial" w:cs="Arial"/>
              </w:rPr>
              <w:t>Signed:</w:t>
            </w:r>
          </w:p>
          <w:p w14:paraId="474955BF" w14:textId="77777777" w:rsidR="002D55B2" w:rsidRPr="00431CA5" w:rsidRDefault="002D55B2" w:rsidP="00730E8E">
            <w:pPr>
              <w:widowControl w:val="0"/>
              <w:autoSpaceDE w:val="0"/>
              <w:autoSpaceDN w:val="0"/>
              <w:adjustRightInd w:val="0"/>
              <w:spacing w:before="120" w:after="120" w:line="240" w:lineRule="auto"/>
              <w:rPr>
                <w:rFonts w:ascii="Arial" w:hAnsi="Arial" w:cs="Arial"/>
              </w:rPr>
            </w:pPr>
          </w:p>
          <w:p w14:paraId="7B4A657B" w14:textId="77777777" w:rsidR="00EE56A7" w:rsidRPr="00431CA5" w:rsidRDefault="00EE56A7" w:rsidP="00730E8E">
            <w:pPr>
              <w:widowControl w:val="0"/>
              <w:autoSpaceDE w:val="0"/>
              <w:autoSpaceDN w:val="0"/>
              <w:adjustRightInd w:val="0"/>
              <w:spacing w:before="120" w:after="120" w:line="240" w:lineRule="auto"/>
              <w:rPr>
                <w:rFonts w:ascii="Arial" w:hAnsi="Arial" w:cs="Arial"/>
              </w:rPr>
            </w:pPr>
            <w:r w:rsidRPr="00431CA5">
              <w:rPr>
                <w:rFonts w:ascii="Arial" w:hAnsi="Arial" w:cs="Arial"/>
              </w:rPr>
              <w:t>Name:</w:t>
            </w:r>
          </w:p>
          <w:p w14:paraId="70241B76" w14:textId="77777777" w:rsidR="00EE56A7" w:rsidRPr="00431CA5" w:rsidRDefault="00EE56A7" w:rsidP="00730E8E">
            <w:pPr>
              <w:widowControl w:val="0"/>
              <w:autoSpaceDE w:val="0"/>
              <w:autoSpaceDN w:val="0"/>
              <w:adjustRightInd w:val="0"/>
              <w:spacing w:before="120" w:after="120" w:line="240" w:lineRule="auto"/>
              <w:rPr>
                <w:rFonts w:ascii="Arial" w:hAnsi="Arial" w:cs="Arial"/>
              </w:rPr>
            </w:pPr>
            <w:r w:rsidRPr="00431CA5">
              <w:rPr>
                <w:rFonts w:ascii="Arial" w:hAnsi="Arial" w:cs="Arial"/>
              </w:rPr>
              <w:t>Position:</w:t>
            </w:r>
          </w:p>
          <w:p w14:paraId="343E80C5" w14:textId="77777777" w:rsidR="00EE56A7" w:rsidRPr="00431CA5" w:rsidRDefault="00EE56A7" w:rsidP="00730E8E">
            <w:pPr>
              <w:widowControl w:val="0"/>
              <w:autoSpaceDE w:val="0"/>
              <w:autoSpaceDN w:val="0"/>
              <w:adjustRightInd w:val="0"/>
              <w:spacing w:before="120" w:after="120" w:line="240" w:lineRule="auto"/>
              <w:rPr>
                <w:rFonts w:ascii="Arial" w:hAnsi="Arial" w:cs="Arial"/>
              </w:rPr>
            </w:pPr>
            <w:r w:rsidRPr="00431CA5">
              <w:rPr>
                <w:rFonts w:ascii="Arial" w:hAnsi="Arial" w:cs="Arial"/>
              </w:rPr>
              <w:t>Date:</w:t>
            </w:r>
          </w:p>
        </w:tc>
      </w:tr>
    </w:tbl>
    <w:p w14:paraId="695096F0" w14:textId="77777777" w:rsidR="00EE56A7" w:rsidRDefault="00EE56A7" w:rsidP="00730E8E">
      <w:pPr>
        <w:widowControl w:val="0"/>
        <w:autoSpaceDE w:val="0"/>
        <w:autoSpaceDN w:val="0"/>
        <w:adjustRightInd w:val="0"/>
        <w:spacing w:before="120" w:after="120" w:line="240" w:lineRule="auto"/>
        <w:rPr>
          <w:rFonts w:ascii="Arial" w:hAnsi="Arial" w:cs="Arial"/>
        </w:rPr>
      </w:pPr>
    </w:p>
    <w:p w14:paraId="53BB7324" w14:textId="43F944B8" w:rsidR="00EE56A7" w:rsidRPr="003F04CA" w:rsidRDefault="00EE56A7" w:rsidP="00730E8E">
      <w:pPr>
        <w:widowControl w:val="0"/>
        <w:autoSpaceDE w:val="0"/>
        <w:autoSpaceDN w:val="0"/>
        <w:adjustRightInd w:val="0"/>
        <w:spacing w:before="120" w:after="120" w:line="240" w:lineRule="auto"/>
        <w:jc w:val="center"/>
        <w:rPr>
          <w:rFonts w:ascii="Arial" w:hAnsi="Arial" w:cs="Arial"/>
          <w:b/>
          <w:u w:val="single"/>
        </w:rPr>
      </w:pPr>
      <w:r>
        <w:rPr>
          <w:rFonts w:ascii="Arial" w:hAnsi="Arial" w:cs="Arial"/>
        </w:rPr>
        <w:br w:type="page"/>
      </w:r>
      <w:r w:rsidR="003F04CA" w:rsidRPr="00C97EC3">
        <w:rPr>
          <w:rFonts w:ascii="Arial" w:hAnsi="Arial" w:cs="Arial"/>
          <w:b/>
          <w:u w:val="single"/>
        </w:rPr>
        <w:lastRenderedPageBreak/>
        <w:t xml:space="preserve">Schedule 1 </w:t>
      </w:r>
      <w:r w:rsidR="003F04CA">
        <w:rPr>
          <w:rFonts w:ascii="Arial" w:hAnsi="Arial" w:cs="Arial"/>
          <w:b/>
          <w:u w:val="single"/>
        </w:rPr>
        <w:t>–</w:t>
      </w:r>
      <w:r w:rsidR="003F04CA" w:rsidRPr="00C97EC3">
        <w:rPr>
          <w:rFonts w:ascii="Arial" w:hAnsi="Arial" w:cs="Arial"/>
          <w:b/>
          <w:u w:val="single"/>
        </w:rPr>
        <w:t xml:space="preserve"> </w:t>
      </w:r>
      <w:r w:rsidRPr="003F04CA">
        <w:rPr>
          <w:rFonts w:ascii="Arial" w:hAnsi="Arial" w:cs="Arial"/>
          <w:b/>
          <w:u w:val="single"/>
        </w:rPr>
        <w:t>Definitions</w:t>
      </w:r>
      <w:r w:rsidR="003F04CA">
        <w:rPr>
          <w:rFonts w:ascii="Arial" w:hAnsi="Arial" w:cs="Arial"/>
          <w:b/>
          <w:u w:val="single"/>
        </w:rPr>
        <w:t xml:space="preserve"> and Interpretation</w:t>
      </w:r>
    </w:p>
    <w:p w14:paraId="593D12E1" w14:textId="402B8D11" w:rsidR="00EE56A7" w:rsidRPr="00730E8E" w:rsidRDefault="00EE56A7" w:rsidP="00730E8E">
      <w:pPr>
        <w:pStyle w:val="MRheading1"/>
        <w:numPr>
          <w:ilvl w:val="0"/>
          <w:numId w:val="7"/>
        </w:numPr>
        <w:spacing w:line="240" w:lineRule="auto"/>
        <w:rPr>
          <w:rFonts w:cs="Arial"/>
        </w:rPr>
      </w:pPr>
      <w:r w:rsidRPr="00730E8E">
        <w:rPr>
          <w:rFonts w:cs="Arial"/>
        </w:rPr>
        <w:t xml:space="preserve">Definitions </w:t>
      </w:r>
    </w:p>
    <w:p w14:paraId="31E44AAC" w14:textId="7BAC846D" w:rsidR="002F37BE" w:rsidRPr="00A343CA" w:rsidRDefault="00EE56A7" w:rsidP="00730E8E">
      <w:pPr>
        <w:widowControl w:val="0"/>
        <w:autoSpaceDE w:val="0"/>
        <w:autoSpaceDN w:val="0"/>
        <w:adjustRightInd w:val="0"/>
        <w:spacing w:before="120" w:after="120" w:line="240" w:lineRule="auto"/>
        <w:ind w:left="720"/>
        <w:jc w:val="both"/>
        <w:rPr>
          <w:rFonts w:ascii="Arial" w:hAnsi="Arial" w:cs="Arial"/>
        </w:rPr>
      </w:pPr>
      <w:r w:rsidRPr="00A343CA">
        <w:rPr>
          <w:rFonts w:ascii="Arial" w:hAnsi="Arial" w:cs="Arial"/>
        </w:rPr>
        <w:t xml:space="preserve">In this Agreement the following terms shall have the following meanings: </w:t>
      </w:r>
    </w:p>
    <w:p w14:paraId="7B074078" w14:textId="4012A78D" w:rsidR="00EE56A7" w:rsidRPr="00A343CA" w:rsidRDefault="00EC019C" w:rsidP="00730E8E">
      <w:pPr>
        <w:widowControl w:val="0"/>
        <w:autoSpaceDE w:val="0"/>
        <w:autoSpaceDN w:val="0"/>
        <w:adjustRightInd w:val="0"/>
        <w:spacing w:before="120" w:line="240" w:lineRule="auto"/>
        <w:ind w:left="720"/>
        <w:jc w:val="both"/>
        <w:rPr>
          <w:rFonts w:ascii="Arial" w:hAnsi="Arial" w:cs="Arial"/>
        </w:rPr>
      </w:pPr>
      <w:r w:rsidRPr="00A343CA">
        <w:rPr>
          <w:rFonts w:ascii="Arial" w:hAnsi="Arial" w:cs="Arial"/>
          <w:b/>
        </w:rPr>
        <w:t>“</w:t>
      </w:r>
      <w:r w:rsidR="00EE56A7" w:rsidRPr="00A343CA">
        <w:rPr>
          <w:rFonts w:ascii="Arial" w:hAnsi="Arial" w:cs="Arial"/>
          <w:b/>
        </w:rPr>
        <w:t>Agreement</w:t>
      </w:r>
      <w:r w:rsidRPr="00A343CA">
        <w:rPr>
          <w:rFonts w:ascii="Arial" w:hAnsi="Arial" w:cs="Arial"/>
          <w:b/>
        </w:rPr>
        <w:t>”</w:t>
      </w:r>
      <w:r w:rsidR="00053C9D">
        <w:rPr>
          <w:rFonts w:ascii="Arial" w:hAnsi="Arial" w:cs="Arial"/>
          <w:bCs/>
        </w:rPr>
        <w:t xml:space="preserve"> means</w:t>
      </w:r>
      <w:r w:rsidR="00EE56A7" w:rsidRPr="00A343CA">
        <w:rPr>
          <w:rFonts w:ascii="Arial" w:hAnsi="Arial" w:cs="Arial"/>
        </w:rPr>
        <w:t xml:space="preserve"> this letter together with its schedules and </w:t>
      </w:r>
      <w:r w:rsidR="00F12FC8" w:rsidRPr="00A343CA">
        <w:rPr>
          <w:rFonts w:ascii="Arial" w:hAnsi="Arial" w:cs="Arial"/>
        </w:rPr>
        <w:t>Annex</w:t>
      </w:r>
      <w:r w:rsidR="00F12FC8">
        <w:rPr>
          <w:rFonts w:ascii="Arial" w:hAnsi="Arial" w:cs="Arial"/>
        </w:rPr>
        <w:t>es</w:t>
      </w:r>
      <w:r w:rsidR="006D076A" w:rsidRPr="00A343CA">
        <w:rPr>
          <w:rFonts w:ascii="Arial" w:hAnsi="Arial" w:cs="Arial"/>
        </w:rPr>
        <w:t>.</w:t>
      </w:r>
    </w:p>
    <w:p w14:paraId="28312579" w14:textId="4ECCF0C6" w:rsidR="00C164DD" w:rsidRPr="00A343CA" w:rsidRDefault="003B13B7" w:rsidP="00730E8E">
      <w:pPr>
        <w:widowControl w:val="0"/>
        <w:autoSpaceDE w:val="0"/>
        <w:autoSpaceDN w:val="0"/>
        <w:adjustRightInd w:val="0"/>
        <w:spacing w:before="120" w:line="240" w:lineRule="auto"/>
        <w:ind w:left="720"/>
        <w:jc w:val="both"/>
        <w:rPr>
          <w:rFonts w:ascii="Arial" w:hAnsi="Arial" w:cs="Arial"/>
          <w:b/>
        </w:rPr>
      </w:pPr>
      <w:r w:rsidRPr="00A343CA">
        <w:rPr>
          <w:rFonts w:ascii="Arial" w:hAnsi="Arial" w:cs="Arial"/>
          <w:b/>
        </w:rPr>
        <w:t>“Aid Diversion”</w:t>
      </w:r>
      <w:r w:rsidRPr="00730E8E">
        <w:rPr>
          <w:rFonts w:ascii="Arial" w:hAnsi="Arial" w:cs="Arial"/>
          <w:bCs/>
        </w:rPr>
        <w:t xml:space="preserve"> </w:t>
      </w:r>
      <w:r w:rsidR="00053C9D">
        <w:rPr>
          <w:rFonts w:ascii="Arial" w:hAnsi="Arial" w:cs="Arial"/>
          <w:bCs/>
        </w:rPr>
        <w:t>means</w:t>
      </w:r>
      <w:r w:rsidR="00053C9D" w:rsidRPr="00A343CA">
        <w:rPr>
          <w:rFonts w:ascii="Arial" w:hAnsi="Arial" w:cs="Arial"/>
        </w:rPr>
        <w:t xml:space="preserve"> </w:t>
      </w:r>
      <w:r w:rsidRPr="00730E8E">
        <w:rPr>
          <w:rFonts w:ascii="Arial" w:hAnsi="Arial" w:cs="Arial"/>
          <w:bCs/>
        </w:rPr>
        <w:t>any event that prevents funds being directed to the aid outcomes or recipients intended</w:t>
      </w:r>
      <w:r w:rsidR="006D076A" w:rsidRPr="00A343CA">
        <w:rPr>
          <w:rFonts w:ascii="Arial" w:hAnsi="Arial" w:cs="Arial"/>
          <w:bCs/>
        </w:rPr>
        <w:t>;</w:t>
      </w:r>
    </w:p>
    <w:p w14:paraId="7DF20236" w14:textId="569C32A3" w:rsidR="003B13B7" w:rsidRPr="00730E8E" w:rsidRDefault="00C164DD" w:rsidP="00730E8E">
      <w:pPr>
        <w:widowControl w:val="0"/>
        <w:autoSpaceDE w:val="0"/>
        <w:autoSpaceDN w:val="0"/>
        <w:adjustRightInd w:val="0"/>
        <w:spacing w:before="120" w:line="240" w:lineRule="auto"/>
        <w:ind w:left="720"/>
        <w:rPr>
          <w:rFonts w:ascii="Arial" w:hAnsi="Arial" w:cs="Arial"/>
          <w:b/>
        </w:rPr>
      </w:pPr>
      <w:r w:rsidRPr="00730E8E">
        <w:rPr>
          <w:rFonts w:ascii="Arial" w:hAnsi="Arial" w:cs="Arial"/>
          <w:b/>
        </w:rPr>
        <w:t>“Asset</w:t>
      </w:r>
      <w:r w:rsidRPr="00730E8E">
        <w:rPr>
          <w:rFonts w:ascii="Arial" w:hAnsi="Arial" w:cs="Arial"/>
          <w:bCs/>
        </w:rPr>
        <w:t>”;</w:t>
      </w:r>
      <w:r w:rsidRPr="00730E8E">
        <w:rPr>
          <w:rFonts w:ascii="Arial" w:hAnsi="Arial" w:cs="Arial"/>
        </w:rPr>
        <w:t xml:space="preserve"> means any assets that are to be purchased or developed using the Grant, including equipment or any other assets which may be a Fixed Asset as appropriate in the relevant context;</w:t>
      </w:r>
    </w:p>
    <w:p w14:paraId="53A6A881" w14:textId="3D7B270E" w:rsidR="000650E7" w:rsidRPr="00730E8E" w:rsidRDefault="00EC019C" w:rsidP="00C97EC3">
      <w:pPr>
        <w:widowControl w:val="0"/>
        <w:autoSpaceDE w:val="0"/>
        <w:autoSpaceDN w:val="0"/>
        <w:adjustRightInd w:val="0"/>
        <w:spacing w:before="120" w:line="240" w:lineRule="auto"/>
        <w:ind w:left="720"/>
        <w:jc w:val="both"/>
        <w:rPr>
          <w:rFonts w:ascii="Arial" w:hAnsi="Arial" w:cs="Arial"/>
          <w:bCs/>
        </w:rPr>
      </w:pPr>
      <w:r w:rsidRPr="00A343CA">
        <w:rPr>
          <w:rFonts w:ascii="Arial" w:hAnsi="Arial" w:cs="Arial"/>
          <w:b/>
        </w:rPr>
        <w:t>“</w:t>
      </w:r>
      <w:r w:rsidR="00EE56A7" w:rsidRPr="00A343CA">
        <w:rPr>
          <w:rFonts w:ascii="Arial" w:hAnsi="Arial" w:cs="Arial"/>
          <w:b/>
        </w:rPr>
        <w:t>Bribery Act</w:t>
      </w:r>
      <w:r w:rsidRPr="00A343CA">
        <w:rPr>
          <w:rFonts w:ascii="Arial" w:hAnsi="Arial" w:cs="Arial"/>
          <w:b/>
        </w:rPr>
        <w:t>”</w:t>
      </w:r>
      <w:r w:rsidR="00053C9D">
        <w:rPr>
          <w:rFonts w:ascii="Arial" w:hAnsi="Arial" w:cs="Arial"/>
          <w:b/>
        </w:rPr>
        <w:t xml:space="preserve"> </w:t>
      </w:r>
      <w:r w:rsidR="00053C9D">
        <w:rPr>
          <w:rFonts w:ascii="Arial" w:hAnsi="Arial" w:cs="Arial"/>
          <w:bCs/>
        </w:rPr>
        <w:t>means</w:t>
      </w:r>
      <w:r w:rsidR="00EE56A7" w:rsidRPr="00A343CA">
        <w:rPr>
          <w:rFonts w:ascii="Arial" w:hAnsi="Arial" w:cs="Arial"/>
        </w:rPr>
        <w:t xml:space="preserve"> the Bribery Act 2010 and any subordinate legislation made under that Act from time to time together with any guidance or codes of practice issued by the relevant government department concerning the legislation</w:t>
      </w:r>
      <w:r w:rsidR="006D076A" w:rsidRPr="00A343CA">
        <w:rPr>
          <w:rFonts w:ascii="Arial" w:hAnsi="Arial" w:cs="Arial"/>
        </w:rPr>
        <w:t>;</w:t>
      </w:r>
    </w:p>
    <w:p w14:paraId="3E193B77" w14:textId="1FD007B9" w:rsidR="00EE56A7" w:rsidRPr="00A343CA" w:rsidRDefault="00EC019C" w:rsidP="00730E8E">
      <w:pPr>
        <w:widowControl w:val="0"/>
        <w:autoSpaceDE w:val="0"/>
        <w:autoSpaceDN w:val="0"/>
        <w:adjustRightInd w:val="0"/>
        <w:spacing w:before="120" w:line="240" w:lineRule="auto"/>
        <w:ind w:left="720"/>
        <w:jc w:val="both"/>
        <w:rPr>
          <w:rFonts w:ascii="Arial" w:hAnsi="Arial" w:cs="Arial"/>
        </w:rPr>
      </w:pPr>
      <w:r w:rsidRPr="00A343CA">
        <w:rPr>
          <w:rFonts w:ascii="Arial" w:hAnsi="Arial" w:cs="Arial"/>
          <w:b/>
        </w:rPr>
        <w:t>“</w:t>
      </w:r>
      <w:r w:rsidR="00EE56A7" w:rsidRPr="00A343CA">
        <w:rPr>
          <w:rFonts w:ascii="Arial" w:hAnsi="Arial" w:cs="Arial"/>
          <w:b/>
        </w:rPr>
        <w:t>Commercially Sensitive Information</w:t>
      </w:r>
      <w:r w:rsidRPr="00A343CA">
        <w:rPr>
          <w:rFonts w:ascii="Arial" w:hAnsi="Arial" w:cs="Arial"/>
          <w:b/>
        </w:rPr>
        <w:t>”</w:t>
      </w:r>
      <w:r w:rsidR="00EE56A7" w:rsidRPr="00A343CA">
        <w:rPr>
          <w:rFonts w:ascii="Arial" w:hAnsi="Arial" w:cs="Arial"/>
        </w:rPr>
        <w:t xml:space="preserve"> </w:t>
      </w:r>
      <w:r w:rsidR="00053C9D">
        <w:rPr>
          <w:rFonts w:ascii="Arial" w:hAnsi="Arial" w:cs="Arial"/>
          <w:bCs/>
        </w:rPr>
        <w:t>means</w:t>
      </w:r>
      <w:r w:rsidR="00053C9D" w:rsidRPr="00A343CA">
        <w:rPr>
          <w:rFonts w:ascii="Arial" w:hAnsi="Arial" w:cs="Arial"/>
        </w:rPr>
        <w:t xml:space="preserve"> </w:t>
      </w:r>
      <w:r w:rsidR="00EE56A7" w:rsidRPr="00A343CA">
        <w:rPr>
          <w:rFonts w:ascii="Arial" w:hAnsi="Arial" w:cs="Arial"/>
        </w:rPr>
        <w:t>information of a commercially sensitive nature relating to THET</w:t>
      </w:r>
      <w:r w:rsidR="006D472A" w:rsidRPr="00A343CA">
        <w:rPr>
          <w:rFonts w:ascii="Arial" w:hAnsi="Arial" w:cs="Arial"/>
        </w:rPr>
        <w:t xml:space="preserve"> or DHSC or the Secretary of State for Health and Social Care</w:t>
      </w:r>
      <w:r w:rsidR="00EE56A7" w:rsidRPr="00A343CA">
        <w:rPr>
          <w:rFonts w:ascii="Arial" w:hAnsi="Arial" w:cs="Arial"/>
        </w:rPr>
        <w:t>, its</w:t>
      </w:r>
      <w:r w:rsidR="006D472A" w:rsidRPr="00A343CA">
        <w:rPr>
          <w:rFonts w:ascii="Arial" w:hAnsi="Arial" w:cs="Arial"/>
        </w:rPr>
        <w:t xml:space="preserve"> or their</w:t>
      </w:r>
      <w:r w:rsidR="00EE56A7" w:rsidRPr="00A343CA">
        <w:rPr>
          <w:rFonts w:ascii="Arial" w:hAnsi="Arial" w:cs="Arial"/>
        </w:rPr>
        <w:t xml:space="preserve"> Intellectual Property Rights</w:t>
      </w:r>
      <w:r w:rsidR="006D472A" w:rsidRPr="00A343CA">
        <w:rPr>
          <w:rFonts w:ascii="Arial" w:hAnsi="Arial" w:cs="Arial"/>
        </w:rPr>
        <w:t>,</w:t>
      </w:r>
      <w:r w:rsidR="00EE56A7" w:rsidRPr="00A343CA">
        <w:rPr>
          <w:rFonts w:ascii="Arial" w:hAnsi="Arial" w:cs="Arial"/>
        </w:rPr>
        <w:t xml:space="preserve"> or its </w:t>
      </w:r>
      <w:r w:rsidR="006D472A" w:rsidRPr="00A343CA">
        <w:rPr>
          <w:rFonts w:ascii="Arial" w:hAnsi="Arial" w:cs="Arial"/>
        </w:rPr>
        <w:t xml:space="preserve">or their </w:t>
      </w:r>
      <w:r w:rsidR="00EE56A7" w:rsidRPr="00A343CA">
        <w:rPr>
          <w:rFonts w:ascii="Arial" w:hAnsi="Arial" w:cs="Arial"/>
        </w:rPr>
        <w:t xml:space="preserve">business which THET has indicated to the </w:t>
      </w:r>
      <w:r w:rsidR="00632356" w:rsidRPr="00A343CA">
        <w:rPr>
          <w:rFonts w:ascii="Arial" w:hAnsi="Arial" w:cs="Arial"/>
        </w:rPr>
        <w:t>Lead Partner</w:t>
      </w:r>
      <w:r w:rsidR="00EE56A7" w:rsidRPr="00A343CA">
        <w:rPr>
          <w:rFonts w:ascii="Arial" w:hAnsi="Arial" w:cs="Arial"/>
        </w:rPr>
        <w:t xml:space="preserve"> that, if disclosed by the </w:t>
      </w:r>
      <w:r w:rsidR="00632356" w:rsidRPr="00A343CA">
        <w:rPr>
          <w:rFonts w:ascii="Arial" w:hAnsi="Arial" w:cs="Arial"/>
        </w:rPr>
        <w:t>Lead Partner</w:t>
      </w:r>
      <w:r w:rsidR="00EE56A7" w:rsidRPr="00A343CA">
        <w:rPr>
          <w:rFonts w:ascii="Arial" w:hAnsi="Arial" w:cs="Arial"/>
        </w:rPr>
        <w:t>, would cause THET significant commercial disadvantage or material financial loss</w:t>
      </w:r>
      <w:r w:rsidR="006D076A" w:rsidRPr="00A343CA">
        <w:rPr>
          <w:rFonts w:ascii="Arial" w:hAnsi="Arial" w:cs="Arial"/>
        </w:rPr>
        <w:t>;</w:t>
      </w:r>
    </w:p>
    <w:p w14:paraId="2DB38880" w14:textId="77777777" w:rsidR="00700A3E" w:rsidRDefault="00EC019C" w:rsidP="00700A3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rPr>
        <w:t>“</w:t>
      </w:r>
      <w:r w:rsidR="00EE56A7" w:rsidRPr="00A343CA">
        <w:rPr>
          <w:rFonts w:ascii="Arial" w:hAnsi="Arial" w:cs="Arial"/>
          <w:b/>
        </w:rPr>
        <w:t>Commencement Date</w:t>
      </w:r>
      <w:r w:rsidRPr="00A343CA">
        <w:rPr>
          <w:rFonts w:ascii="Arial" w:hAnsi="Arial" w:cs="Arial"/>
          <w:b/>
        </w:rPr>
        <w:t>”</w:t>
      </w:r>
      <w:r w:rsidR="00B77051" w:rsidRPr="00A343CA">
        <w:rPr>
          <w:rFonts w:ascii="Arial" w:hAnsi="Arial" w:cs="Arial"/>
          <w:b/>
        </w:rPr>
        <w:t xml:space="preserve"> </w:t>
      </w:r>
      <w:r w:rsidR="00700A3E">
        <w:rPr>
          <w:rFonts w:ascii="Arial" w:hAnsi="Arial" w:cs="Arial"/>
        </w:rPr>
        <w:t xml:space="preserve">means the earlier of: </w:t>
      </w:r>
    </w:p>
    <w:p w14:paraId="5B8872A9" w14:textId="77777777" w:rsidR="00700A3E" w:rsidRDefault="00700A3E" w:rsidP="00700A3E">
      <w:pPr>
        <w:pStyle w:val="ListParagraph"/>
        <w:widowControl w:val="0"/>
        <w:numPr>
          <w:ilvl w:val="0"/>
          <w:numId w:val="132"/>
        </w:numPr>
        <w:autoSpaceDE w:val="0"/>
        <w:autoSpaceDN w:val="0"/>
        <w:adjustRightInd w:val="0"/>
        <w:spacing w:before="120"/>
        <w:ind w:left="1701"/>
        <w:jc w:val="both"/>
        <w:rPr>
          <w:rFonts w:ascii="Arial" w:hAnsi="Arial" w:cs="Arial"/>
        </w:rPr>
      </w:pPr>
      <w:r>
        <w:rPr>
          <w:rFonts w:ascii="Arial" w:hAnsi="Arial" w:cs="Arial"/>
        </w:rPr>
        <w:t xml:space="preserve">the date on which THET transfers the Grant to the account details set out in Annex 3; and </w:t>
      </w:r>
    </w:p>
    <w:p w14:paraId="690B1A3F" w14:textId="3B43B6C1" w:rsidR="00EE56A7" w:rsidRPr="00700A3E" w:rsidRDefault="00700A3E" w:rsidP="00700A3E">
      <w:pPr>
        <w:pStyle w:val="ListParagraph"/>
        <w:widowControl w:val="0"/>
        <w:numPr>
          <w:ilvl w:val="0"/>
          <w:numId w:val="132"/>
        </w:numPr>
        <w:autoSpaceDE w:val="0"/>
        <w:autoSpaceDN w:val="0"/>
        <w:adjustRightInd w:val="0"/>
        <w:spacing w:before="120" w:after="240"/>
        <w:ind w:left="1701"/>
        <w:jc w:val="both"/>
        <w:rPr>
          <w:rFonts w:ascii="Arial" w:hAnsi="Arial" w:cs="Arial"/>
        </w:rPr>
      </w:pPr>
      <w:r>
        <w:rPr>
          <w:rFonts w:ascii="Arial" w:hAnsi="Arial" w:cs="Arial"/>
        </w:rPr>
        <w:t>the date on which the Lead Partner begins the delivery of Funded Activities;</w:t>
      </w:r>
    </w:p>
    <w:p w14:paraId="69FAD0CE" w14:textId="76056402" w:rsidR="00EE56A7" w:rsidRDefault="00EC019C"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rPr>
        <w:t>“</w:t>
      </w:r>
      <w:r w:rsidR="00EE56A7" w:rsidRPr="00A343CA">
        <w:rPr>
          <w:rFonts w:ascii="Arial" w:hAnsi="Arial" w:cs="Arial"/>
          <w:b/>
        </w:rPr>
        <w:t>Confidential Information</w:t>
      </w:r>
      <w:r w:rsidRPr="00A343CA">
        <w:rPr>
          <w:rFonts w:ascii="Arial" w:hAnsi="Arial" w:cs="Arial"/>
          <w:b/>
        </w:rPr>
        <w:t>”</w:t>
      </w:r>
      <w:r w:rsidR="00053C9D" w:rsidRPr="00053C9D">
        <w:rPr>
          <w:rFonts w:ascii="Arial" w:hAnsi="Arial" w:cs="Arial"/>
          <w:bCs/>
        </w:rPr>
        <w:t xml:space="preserve"> </w:t>
      </w:r>
      <w:r w:rsidR="00053C9D">
        <w:rPr>
          <w:rFonts w:ascii="Arial" w:hAnsi="Arial" w:cs="Arial"/>
          <w:bCs/>
        </w:rPr>
        <w:t>means</w:t>
      </w:r>
      <w:r w:rsidR="00EE56A7" w:rsidRPr="00A343CA">
        <w:rPr>
          <w:rFonts w:ascii="Arial" w:hAnsi="Arial" w:cs="Arial"/>
        </w:rPr>
        <w:t xml:space="preserve"> all Personal Data (as defined in </w:t>
      </w:r>
      <w:r w:rsidR="009C6E85" w:rsidRPr="00A343CA">
        <w:rPr>
          <w:rFonts w:ascii="Arial" w:hAnsi="Arial" w:cs="Arial"/>
        </w:rPr>
        <w:t>Data Protection Legislation</w:t>
      </w:r>
      <w:r w:rsidR="00EE56A7" w:rsidRPr="00A343CA">
        <w:rPr>
          <w:rFonts w:ascii="Arial" w:hAnsi="Arial" w:cs="Arial"/>
        </w:rPr>
        <w:t xml:space="preserve">) and any information, however conveyed or disclosed, that relates to the business, affairs, developments, trade secrets, know-how, personnel and suppliers of either party to this Agreement or </w:t>
      </w:r>
      <w:r w:rsidR="00B76D2C" w:rsidRPr="00A343CA">
        <w:rPr>
          <w:rFonts w:ascii="Arial" w:hAnsi="Arial" w:cs="Arial"/>
        </w:rPr>
        <w:t>DHSC</w:t>
      </w:r>
      <w:r w:rsidR="006D472A" w:rsidRPr="00A343CA">
        <w:rPr>
          <w:rFonts w:ascii="Arial" w:hAnsi="Arial" w:cs="Arial"/>
        </w:rPr>
        <w:t xml:space="preserve"> or the Secretary of State for Health and Social Care</w:t>
      </w:r>
      <w:r w:rsidR="00EE56A7" w:rsidRPr="00A343CA">
        <w:rPr>
          <w:rFonts w:ascii="Arial" w:hAnsi="Arial" w:cs="Arial"/>
        </w:rPr>
        <w:t>, including all Intellectual Property Rights, together with all information clearly designated as being confidential (whether or not marked “confidential”) or which ought reasonably to be considered confidential</w:t>
      </w:r>
      <w:r w:rsidR="006D076A" w:rsidRPr="00A343CA">
        <w:rPr>
          <w:rFonts w:ascii="Arial" w:hAnsi="Arial" w:cs="Arial"/>
        </w:rPr>
        <w:t>;</w:t>
      </w:r>
    </w:p>
    <w:p w14:paraId="71E8EEFF" w14:textId="3896110A" w:rsidR="0033069E" w:rsidRPr="00A343CA" w:rsidRDefault="0641B242" w:rsidP="00730E8E">
      <w:pPr>
        <w:widowControl w:val="0"/>
        <w:autoSpaceDE w:val="0"/>
        <w:autoSpaceDN w:val="0"/>
        <w:adjustRightInd w:val="0"/>
        <w:spacing w:before="120" w:line="240" w:lineRule="auto"/>
        <w:ind w:left="676"/>
        <w:jc w:val="both"/>
        <w:rPr>
          <w:rFonts w:ascii="Arial" w:hAnsi="Arial" w:cs="Arial"/>
        </w:rPr>
      </w:pPr>
      <w:r w:rsidRPr="7D6BE9DE">
        <w:rPr>
          <w:rFonts w:ascii="Arial" w:hAnsi="Arial" w:cs="Arial"/>
          <w:b/>
          <w:bCs/>
        </w:rPr>
        <w:t>“</w:t>
      </w:r>
      <w:r w:rsidR="4C574C7F" w:rsidRPr="7D6BE9DE">
        <w:rPr>
          <w:rFonts w:ascii="Arial" w:hAnsi="Arial" w:cs="Arial"/>
          <w:b/>
          <w:bCs/>
        </w:rPr>
        <w:t>GHWP</w:t>
      </w:r>
      <w:r w:rsidRPr="7D6BE9DE">
        <w:rPr>
          <w:rFonts w:ascii="Arial" w:hAnsi="Arial" w:cs="Arial"/>
          <w:b/>
          <w:bCs/>
        </w:rPr>
        <w:t xml:space="preserve"> </w:t>
      </w:r>
      <w:r w:rsidR="244908E6" w:rsidRPr="7D6BE9DE">
        <w:rPr>
          <w:rFonts w:ascii="Arial" w:hAnsi="Arial" w:cs="Arial"/>
          <w:b/>
          <w:bCs/>
        </w:rPr>
        <w:t>project”</w:t>
      </w:r>
      <w:r w:rsidR="5337F421" w:rsidRPr="7D6BE9DE">
        <w:rPr>
          <w:rFonts w:ascii="Arial" w:hAnsi="Arial" w:cs="Arial"/>
        </w:rPr>
        <w:t xml:space="preserve"> means</w:t>
      </w:r>
      <w:r w:rsidR="244908E6" w:rsidRPr="7D6BE9DE">
        <w:rPr>
          <w:rFonts w:ascii="Arial" w:hAnsi="Arial" w:cs="Arial"/>
          <w:b/>
          <w:bCs/>
        </w:rPr>
        <w:t xml:space="preserve"> </w:t>
      </w:r>
      <w:r w:rsidR="244908E6" w:rsidRPr="7D6BE9DE">
        <w:rPr>
          <w:rFonts w:ascii="Arial" w:hAnsi="Arial" w:cs="Arial"/>
        </w:rPr>
        <w:t>the</w:t>
      </w:r>
      <w:r w:rsidRPr="7D6BE9DE">
        <w:rPr>
          <w:rFonts w:ascii="Arial" w:hAnsi="Arial" w:cs="Arial"/>
        </w:rPr>
        <w:t xml:space="preserve"> activities described in detail in the Lead Partner’s </w:t>
      </w:r>
      <w:r w:rsidR="4C574C7F" w:rsidRPr="7D6BE9DE">
        <w:rPr>
          <w:rFonts w:ascii="Arial" w:hAnsi="Arial" w:cs="Arial"/>
        </w:rPr>
        <w:t>GHWP</w:t>
      </w:r>
      <w:r w:rsidRPr="7D6BE9DE">
        <w:rPr>
          <w:rFonts w:ascii="Arial" w:hAnsi="Arial" w:cs="Arial"/>
        </w:rPr>
        <w:t>: Grant application form and budget template as amended from time to time;</w:t>
      </w:r>
    </w:p>
    <w:p w14:paraId="56295A95" w14:textId="70DCF1D8" w:rsidR="00EE56A7" w:rsidRPr="00A343CA" w:rsidRDefault="00EC019C"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rPr>
        <w:t>“</w:t>
      </w:r>
      <w:r w:rsidR="00EE56A7" w:rsidRPr="00A343CA">
        <w:rPr>
          <w:rFonts w:ascii="Arial" w:hAnsi="Arial" w:cs="Arial"/>
          <w:b/>
        </w:rPr>
        <w:t>Data Protection Legislation</w:t>
      </w:r>
      <w:r w:rsidRPr="00A343CA">
        <w:rPr>
          <w:rFonts w:ascii="Arial" w:hAnsi="Arial" w:cs="Arial"/>
          <w:b/>
        </w:rPr>
        <w:t>”</w:t>
      </w:r>
      <w:r w:rsidR="00EE56A7" w:rsidRPr="00A343CA">
        <w:rPr>
          <w:rFonts w:ascii="Arial" w:hAnsi="Arial" w:cs="Arial"/>
        </w:rPr>
        <w:t xml:space="preserve"> </w:t>
      </w:r>
      <w:r w:rsidR="00A26CD3">
        <w:rPr>
          <w:rFonts w:ascii="Arial" w:hAnsi="Arial" w:cs="Arial"/>
          <w:bCs/>
        </w:rPr>
        <w:t>means</w:t>
      </w:r>
      <w:r w:rsidR="00A26CD3" w:rsidRPr="00A343CA">
        <w:rPr>
          <w:rFonts w:ascii="Arial" w:hAnsi="Arial" w:cs="Arial"/>
        </w:rPr>
        <w:t xml:space="preserve"> </w:t>
      </w:r>
      <w:r w:rsidR="00A24452" w:rsidRPr="00A343CA">
        <w:rPr>
          <w:rFonts w:ascii="Arial" w:hAnsi="Arial" w:cs="Arial"/>
        </w:rPr>
        <w:t>the UK GDPR, Data Protection Act 2018 and Privacy and Electronic Communications (EC Directive) Regulations 2003;</w:t>
      </w:r>
      <w:r w:rsidR="00DE260E" w:rsidRPr="00A343CA">
        <w:rPr>
          <w:rFonts w:ascii="Arial" w:hAnsi="Arial" w:cs="Arial"/>
        </w:rPr>
        <w:t xml:space="preserve"> and all applicable laws and regulations relating to processing of personal data and privacy, including where applicable the guidance and codes of practice issued by the Information Commissioner</w:t>
      </w:r>
      <w:r w:rsidR="006D076A" w:rsidRPr="00A343CA">
        <w:rPr>
          <w:rFonts w:ascii="Arial" w:hAnsi="Arial" w:cs="Arial"/>
        </w:rPr>
        <w:t>;</w:t>
      </w:r>
    </w:p>
    <w:p w14:paraId="737E4AB0" w14:textId="26B28FF6" w:rsidR="00A250CC" w:rsidRPr="00A343CA" w:rsidRDefault="00A250CC" w:rsidP="00730E8E">
      <w:pPr>
        <w:widowControl w:val="0"/>
        <w:autoSpaceDE w:val="0"/>
        <w:autoSpaceDN w:val="0"/>
        <w:adjustRightInd w:val="0"/>
        <w:spacing w:before="120" w:line="240" w:lineRule="auto"/>
        <w:ind w:left="676"/>
        <w:jc w:val="both"/>
        <w:rPr>
          <w:rFonts w:ascii="Arial" w:hAnsi="Arial" w:cs="Arial"/>
          <w:color w:val="000000"/>
          <w:u w:color="000000"/>
        </w:rPr>
      </w:pPr>
      <w:r w:rsidRPr="00A343CA">
        <w:rPr>
          <w:rFonts w:ascii="Arial" w:hAnsi="Arial" w:cs="Arial"/>
          <w:color w:val="000000"/>
          <w:u w:color="000000"/>
        </w:rPr>
        <w:t>“</w:t>
      </w:r>
      <w:r w:rsidRPr="00730E8E">
        <w:rPr>
          <w:rFonts w:ascii="Arial" w:hAnsi="Arial" w:cs="Arial"/>
          <w:b/>
          <w:bCs/>
          <w:color w:val="000000"/>
          <w:u w:color="000000"/>
        </w:rPr>
        <w:t>DHSC</w:t>
      </w:r>
      <w:r w:rsidRPr="00A343CA">
        <w:rPr>
          <w:rFonts w:ascii="Arial" w:hAnsi="Arial" w:cs="Arial"/>
          <w:color w:val="000000"/>
          <w:u w:color="000000"/>
        </w:rPr>
        <w:t xml:space="preserve">” </w:t>
      </w:r>
      <w:r w:rsidR="00A26CD3">
        <w:rPr>
          <w:rFonts w:ascii="Arial" w:hAnsi="Arial" w:cs="Arial"/>
          <w:bCs/>
        </w:rPr>
        <w:t>means</w:t>
      </w:r>
      <w:r w:rsidR="00A26CD3" w:rsidRPr="00A343CA">
        <w:rPr>
          <w:rFonts w:ascii="Arial" w:hAnsi="Arial" w:cs="Arial"/>
        </w:rPr>
        <w:t xml:space="preserve"> </w:t>
      </w:r>
      <w:r w:rsidR="004A2353">
        <w:rPr>
          <w:rFonts w:ascii="Arial" w:hAnsi="Arial" w:cs="Arial"/>
          <w:color w:val="000000"/>
          <w:u w:color="000000"/>
        </w:rPr>
        <w:t>the Department for Health and Social Care</w:t>
      </w:r>
      <w:r w:rsidR="00F954E2">
        <w:rPr>
          <w:rFonts w:ascii="Arial" w:hAnsi="Arial" w:cs="Arial"/>
          <w:color w:val="000000"/>
          <w:u w:color="000000"/>
        </w:rPr>
        <w:t>;</w:t>
      </w:r>
    </w:p>
    <w:p w14:paraId="7358AFB8" w14:textId="3F499C4B" w:rsidR="009C5470" w:rsidRDefault="008C2840" w:rsidP="00730E8E">
      <w:pPr>
        <w:widowControl w:val="0"/>
        <w:autoSpaceDE w:val="0"/>
        <w:autoSpaceDN w:val="0"/>
        <w:adjustRightInd w:val="0"/>
        <w:spacing w:before="120" w:line="240" w:lineRule="auto"/>
        <w:ind w:left="676"/>
        <w:jc w:val="both"/>
        <w:rPr>
          <w:rFonts w:ascii="Arial" w:hAnsi="Arial" w:cs="Arial"/>
          <w:color w:val="000000"/>
          <w:u w:color="000000"/>
        </w:rPr>
      </w:pPr>
      <w:r w:rsidRPr="00A343CA">
        <w:rPr>
          <w:rFonts w:ascii="Arial" w:hAnsi="Arial" w:cs="Arial"/>
          <w:color w:val="000000"/>
          <w:u w:color="000000"/>
        </w:rPr>
        <w:t>“</w:t>
      </w:r>
      <w:r w:rsidRPr="00A343CA">
        <w:rPr>
          <w:rFonts w:ascii="Arial" w:hAnsi="Arial" w:cs="Arial"/>
          <w:b/>
          <w:bCs/>
          <w:color w:val="000000"/>
          <w:u w:color="000000"/>
        </w:rPr>
        <w:t>Disposal</w:t>
      </w:r>
      <w:r w:rsidRPr="00A343CA">
        <w:rPr>
          <w:rFonts w:ascii="Arial" w:hAnsi="Arial" w:cs="Arial"/>
          <w:color w:val="000000"/>
          <w:u w:color="000000"/>
        </w:rPr>
        <w:t xml:space="preserve">” means the disposal, sale, transfer of the Grant or any interest in any Asset and includes any contract for disposal; </w:t>
      </w:r>
    </w:p>
    <w:p w14:paraId="05FDC231" w14:textId="252FFEC8" w:rsidR="001F2268" w:rsidRPr="001F2268" w:rsidRDefault="001F2268" w:rsidP="00730E8E">
      <w:pPr>
        <w:widowControl w:val="0"/>
        <w:autoSpaceDE w:val="0"/>
        <w:autoSpaceDN w:val="0"/>
        <w:adjustRightInd w:val="0"/>
        <w:spacing w:before="120" w:line="240" w:lineRule="auto"/>
        <w:ind w:left="676"/>
        <w:jc w:val="both"/>
        <w:rPr>
          <w:rFonts w:ascii="Arial" w:hAnsi="Arial" w:cs="Arial"/>
          <w:color w:val="000000"/>
          <w:u w:color="000000"/>
        </w:rPr>
      </w:pPr>
      <w:r>
        <w:rPr>
          <w:rFonts w:ascii="Arial" w:hAnsi="Arial" w:cs="Arial"/>
          <w:b/>
          <w:bCs/>
          <w:color w:val="000000"/>
          <w:u w:color="000000"/>
        </w:rPr>
        <w:t xml:space="preserve">“Downstream Partner” </w:t>
      </w:r>
      <w:r>
        <w:rPr>
          <w:rFonts w:ascii="Arial" w:hAnsi="Arial" w:cs="Arial"/>
          <w:color w:val="000000"/>
          <w:u w:color="000000"/>
        </w:rPr>
        <w:t>shall have the meaning given to it in the Funding Agreement;</w:t>
      </w:r>
    </w:p>
    <w:p w14:paraId="6FA171CA" w14:textId="40CF4982" w:rsidR="00254BBD" w:rsidRPr="00730E8E" w:rsidRDefault="00254BBD" w:rsidP="00730E8E">
      <w:pPr>
        <w:widowControl w:val="0"/>
        <w:autoSpaceDE w:val="0"/>
        <w:autoSpaceDN w:val="0"/>
        <w:adjustRightInd w:val="0"/>
        <w:spacing w:before="120" w:line="240" w:lineRule="auto"/>
        <w:ind w:left="676"/>
        <w:jc w:val="both"/>
        <w:rPr>
          <w:rFonts w:ascii="Arial" w:hAnsi="Arial" w:cs="Arial"/>
          <w:b/>
          <w:bCs/>
          <w:color w:val="000000"/>
          <w:u w:color="000000"/>
        </w:rPr>
      </w:pPr>
      <w:r>
        <w:rPr>
          <w:rFonts w:ascii="Arial" w:hAnsi="Arial" w:cs="Arial"/>
          <w:color w:val="000000"/>
          <w:u w:color="000000"/>
        </w:rPr>
        <w:lastRenderedPageBreak/>
        <w:t>“</w:t>
      </w:r>
      <w:r>
        <w:rPr>
          <w:rFonts w:ascii="Arial" w:hAnsi="Arial" w:cs="Arial"/>
          <w:b/>
          <w:bCs/>
          <w:color w:val="000000"/>
          <w:u w:color="000000"/>
        </w:rPr>
        <w:t xml:space="preserve">EIR” </w:t>
      </w:r>
      <w:r w:rsidR="00A26CD3">
        <w:rPr>
          <w:rFonts w:ascii="Arial" w:hAnsi="Arial" w:cs="Arial"/>
          <w:bCs/>
        </w:rPr>
        <w:t>means</w:t>
      </w:r>
      <w:r w:rsidR="00A26CD3" w:rsidRPr="00A343CA">
        <w:rPr>
          <w:rFonts w:ascii="Arial" w:hAnsi="Arial" w:cs="Arial"/>
        </w:rPr>
        <w:t xml:space="preserve"> </w:t>
      </w:r>
      <w:r w:rsidR="00A26CD3">
        <w:rPr>
          <w:rFonts w:ascii="Arial" w:hAnsi="Arial" w:cs="Arial"/>
          <w:color w:val="000000"/>
          <w:u w:color="000000"/>
        </w:rPr>
        <w:t>t</w:t>
      </w:r>
      <w:r w:rsidR="00CD17AA" w:rsidRPr="00CD17AA">
        <w:rPr>
          <w:rFonts w:ascii="Arial" w:hAnsi="Arial" w:cs="Arial"/>
          <w:color w:val="000000"/>
          <w:u w:color="000000"/>
        </w:rPr>
        <w:t>he Environmental Information Regulations 2004</w:t>
      </w:r>
      <w:r w:rsidR="00CD17AA">
        <w:rPr>
          <w:rFonts w:ascii="Arial" w:hAnsi="Arial" w:cs="Arial"/>
          <w:color w:val="000000"/>
          <w:u w:color="000000"/>
        </w:rPr>
        <w:t>;</w:t>
      </w:r>
    </w:p>
    <w:p w14:paraId="438A8459" w14:textId="027314FE" w:rsidR="00A63BD9" w:rsidRPr="00A343CA" w:rsidRDefault="00A63BD9" w:rsidP="00730E8E">
      <w:pPr>
        <w:widowControl w:val="0"/>
        <w:autoSpaceDE w:val="0"/>
        <w:autoSpaceDN w:val="0"/>
        <w:adjustRightInd w:val="0"/>
        <w:spacing w:before="120" w:line="240" w:lineRule="auto"/>
        <w:ind w:left="676"/>
        <w:jc w:val="both"/>
        <w:rPr>
          <w:rFonts w:ascii="Arial" w:hAnsi="Arial" w:cs="Arial"/>
          <w:color w:val="000000"/>
          <w:u w:color="000000"/>
        </w:rPr>
      </w:pPr>
      <w:r w:rsidRPr="00A343CA">
        <w:rPr>
          <w:rFonts w:ascii="Arial" w:hAnsi="Arial" w:cs="Arial"/>
          <w:color w:val="000000"/>
          <w:u w:color="000000"/>
        </w:rPr>
        <w:t>“</w:t>
      </w:r>
      <w:r w:rsidRPr="00A343CA">
        <w:rPr>
          <w:rFonts w:ascii="Arial" w:hAnsi="Arial" w:cs="Arial"/>
          <w:b/>
          <w:bCs/>
          <w:color w:val="000000"/>
          <w:u w:color="000000"/>
        </w:rPr>
        <w:t>Exit Plan</w:t>
      </w:r>
      <w:r w:rsidR="00CD17AA">
        <w:rPr>
          <w:rFonts w:ascii="Arial" w:hAnsi="Arial" w:cs="Arial"/>
          <w:b/>
          <w:bCs/>
          <w:color w:val="000000"/>
          <w:u w:color="000000"/>
        </w:rPr>
        <w:t>”</w:t>
      </w:r>
      <w:r w:rsidRPr="00A343CA">
        <w:rPr>
          <w:rFonts w:ascii="Arial" w:hAnsi="Arial" w:cs="Arial"/>
          <w:color w:val="000000"/>
          <w:u w:color="000000"/>
        </w:rPr>
        <w:t xml:space="preserve"> </w:t>
      </w:r>
      <w:r w:rsidR="00A26CD3">
        <w:rPr>
          <w:rFonts w:ascii="Arial" w:hAnsi="Arial" w:cs="Arial"/>
          <w:bCs/>
        </w:rPr>
        <w:t>means</w:t>
      </w:r>
      <w:r w:rsidR="00A26CD3" w:rsidRPr="00A343CA">
        <w:rPr>
          <w:rFonts w:ascii="Arial" w:hAnsi="Arial" w:cs="Arial"/>
        </w:rPr>
        <w:t xml:space="preserve"> </w:t>
      </w:r>
      <w:r w:rsidR="00FD2D3C" w:rsidRPr="00A343CA">
        <w:rPr>
          <w:rFonts w:ascii="Arial" w:hAnsi="Arial" w:cs="Arial"/>
          <w:color w:val="000000"/>
          <w:u w:color="000000"/>
        </w:rPr>
        <w:t xml:space="preserve">the plan required allowing for the cessation or transfer of the Funded Activities set out in </w:t>
      </w:r>
      <w:r w:rsidR="003F6720">
        <w:rPr>
          <w:rFonts w:ascii="Arial" w:hAnsi="Arial" w:cs="Arial"/>
          <w:color w:val="000000"/>
          <w:u w:color="000000"/>
        </w:rPr>
        <w:t>paragraph</w:t>
      </w:r>
      <w:r w:rsidR="00FD2D3C" w:rsidRPr="00A343CA">
        <w:rPr>
          <w:rFonts w:ascii="Arial" w:hAnsi="Arial" w:cs="Arial"/>
          <w:color w:val="000000"/>
          <w:u w:color="000000"/>
        </w:rPr>
        <w:t xml:space="preserve"> </w:t>
      </w:r>
      <w:r w:rsidR="003F6720">
        <w:rPr>
          <w:rFonts w:ascii="Arial" w:hAnsi="Arial" w:cs="Arial"/>
          <w:color w:val="000000"/>
          <w:u w:color="000000"/>
        </w:rPr>
        <w:fldChar w:fldCharType="begin"/>
      </w:r>
      <w:r w:rsidR="003F6720">
        <w:rPr>
          <w:rFonts w:ascii="Arial" w:hAnsi="Arial" w:cs="Arial"/>
          <w:color w:val="000000"/>
          <w:u w:color="000000"/>
        </w:rPr>
        <w:instrText xml:space="preserve"> REF _Ref124867455 \r \h </w:instrText>
      </w:r>
      <w:r w:rsidR="003F6720">
        <w:rPr>
          <w:rFonts w:ascii="Arial" w:hAnsi="Arial" w:cs="Arial"/>
          <w:color w:val="000000"/>
          <w:u w:color="000000"/>
        </w:rPr>
      </w:r>
      <w:r w:rsidR="003F6720">
        <w:rPr>
          <w:rFonts w:ascii="Arial" w:hAnsi="Arial" w:cs="Arial"/>
          <w:color w:val="000000"/>
          <w:u w:color="000000"/>
        </w:rPr>
        <w:fldChar w:fldCharType="separate"/>
      </w:r>
      <w:r w:rsidR="006B5F2E">
        <w:rPr>
          <w:rFonts w:ascii="Arial" w:hAnsi="Arial" w:cs="Arial"/>
          <w:color w:val="000000"/>
          <w:u w:color="000000"/>
        </w:rPr>
        <w:t>23</w:t>
      </w:r>
      <w:r w:rsidR="003F6720">
        <w:rPr>
          <w:rFonts w:ascii="Arial" w:hAnsi="Arial" w:cs="Arial"/>
          <w:color w:val="000000"/>
          <w:u w:color="000000"/>
        </w:rPr>
        <w:fldChar w:fldCharType="end"/>
      </w:r>
      <w:r w:rsidR="00A62102">
        <w:rPr>
          <w:rFonts w:ascii="Arial" w:hAnsi="Arial" w:cs="Arial"/>
          <w:color w:val="000000"/>
          <w:u w:color="000000"/>
        </w:rPr>
        <w:t xml:space="preserve"> (Effect of Termination/Suspension/Expiry</w:t>
      </w:r>
      <w:r w:rsidR="005152A5">
        <w:rPr>
          <w:rFonts w:ascii="Arial" w:hAnsi="Arial" w:cs="Arial"/>
          <w:color w:val="000000"/>
          <w:u w:color="000000"/>
        </w:rPr>
        <w:t>)</w:t>
      </w:r>
      <w:r w:rsidR="006D076A" w:rsidRPr="00A343CA">
        <w:rPr>
          <w:rFonts w:ascii="Arial" w:hAnsi="Arial" w:cs="Arial"/>
          <w:color w:val="000000"/>
          <w:u w:color="000000"/>
        </w:rPr>
        <w:t>;</w:t>
      </w:r>
    </w:p>
    <w:p w14:paraId="50E3C338" w14:textId="3D4E0816" w:rsidR="00C70E59" w:rsidRDefault="00C70E59" w:rsidP="00730E8E">
      <w:pPr>
        <w:widowControl w:val="0"/>
        <w:autoSpaceDE w:val="0"/>
        <w:autoSpaceDN w:val="0"/>
        <w:adjustRightInd w:val="0"/>
        <w:spacing w:before="120" w:line="240" w:lineRule="auto"/>
        <w:ind w:left="676"/>
        <w:jc w:val="both"/>
        <w:rPr>
          <w:rFonts w:ascii="Arial" w:hAnsi="Arial" w:cs="Arial"/>
          <w:bCs/>
        </w:rPr>
      </w:pPr>
      <w:r w:rsidRPr="00A343CA">
        <w:rPr>
          <w:rFonts w:ascii="Arial" w:hAnsi="Arial" w:cs="Arial"/>
          <w:b/>
        </w:rPr>
        <w:t xml:space="preserve">“Fixed Assets” </w:t>
      </w:r>
      <w:r w:rsidRPr="00A343CA">
        <w:rPr>
          <w:rFonts w:ascii="Arial" w:hAnsi="Arial" w:cs="Arial"/>
          <w:bCs/>
        </w:rPr>
        <w:t xml:space="preserve">means any Asset which consists of land, buildings, plant and equipment acquired, developed, enhanced, constructed or owned by the </w:t>
      </w:r>
      <w:r w:rsidR="00082A6E" w:rsidRPr="00730E8E">
        <w:rPr>
          <w:rFonts w:ascii="Arial" w:hAnsi="Arial" w:cs="Arial"/>
        </w:rPr>
        <w:t xml:space="preserve">Lead Partner </w:t>
      </w:r>
      <w:r w:rsidRPr="00A343CA">
        <w:rPr>
          <w:rFonts w:ascii="Arial" w:hAnsi="Arial" w:cs="Arial"/>
          <w:bCs/>
        </w:rPr>
        <w:t>in connection with the Funded Activities;</w:t>
      </w:r>
    </w:p>
    <w:p w14:paraId="75990E21" w14:textId="5DA63F7B" w:rsidR="001F2268" w:rsidRPr="001F2268" w:rsidRDefault="001F2268" w:rsidP="00730E8E">
      <w:pPr>
        <w:widowControl w:val="0"/>
        <w:autoSpaceDE w:val="0"/>
        <w:autoSpaceDN w:val="0"/>
        <w:adjustRightInd w:val="0"/>
        <w:spacing w:before="120" w:line="240" w:lineRule="auto"/>
        <w:ind w:left="676"/>
        <w:jc w:val="both"/>
        <w:rPr>
          <w:rFonts w:ascii="Arial" w:hAnsi="Arial" w:cs="Arial"/>
          <w:bCs/>
        </w:rPr>
      </w:pPr>
      <w:r>
        <w:rPr>
          <w:rFonts w:ascii="Arial" w:hAnsi="Arial" w:cs="Arial"/>
          <w:b/>
        </w:rPr>
        <w:t>“Financial Impropriety”</w:t>
      </w:r>
      <w:r>
        <w:rPr>
          <w:rFonts w:ascii="Arial" w:hAnsi="Arial" w:cs="Arial"/>
          <w:bCs/>
        </w:rPr>
        <w:t xml:space="preserve"> has the meaning given to it in paragraph 16.4</w:t>
      </w:r>
      <w:r w:rsidR="00024001">
        <w:rPr>
          <w:rFonts w:ascii="Arial" w:hAnsi="Arial" w:cs="Arial"/>
          <w:bCs/>
        </w:rPr>
        <w:t xml:space="preserve"> (Human Rights and Financial Impropriety)</w:t>
      </w:r>
      <w:r w:rsidR="004522E7">
        <w:rPr>
          <w:rFonts w:ascii="Arial" w:hAnsi="Arial" w:cs="Arial"/>
          <w:bCs/>
        </w:rPr>
        <w:t>;</w:t>
      </w:r>
    </w:p>
    <w:p w14:paraId="7429C443" w14:textId="1D35D33E" w:rsidR="001C40FF" w:rsidRPr="00A343CA" w:rsidRDefault="00EC019C" w:rsidP="00730E8E">
      <w:pPr>
        <w:spacing w:before="120" w:line="240" w:lineRule="auto"/>
        <w:ind w:left="720"/>
        <w:jc w:val="both"/>
        <w:rPr>
          <w:rFonts w:ascii="Arial" w:hAnsi="Arial" w:cs="Arial"/>
        </w:rPr>
      </w:pPr>
      <w:r w:rsidRPr="00A343CA">
        <w:rPr>
          <w:rFonts w:ascii="Arial" w:hAnsi="Arial" w:cs="Arial"/>
          <w:b/>
        </w:rPr>
        <w:t>“</w:t>
      </w:r>
      <w:r w:rsidR="00EE56A7" w:rsidRPr="00A343CA">
        <w:rPr>
          <w:rFonts w:ascii="Arial" w:hAnsi="Arial" w:cs="Arial"/>
          <w:b/>
        </w:rPr>
        <w:t>Force Majeure</w:t>
      </w:r>
      <w:r w:rsidRPr="00A343CA">
        <w:rPr>
          <w:rFonts w:ascii="Arial" w:hAnsi="Arial" w:cs="Arial"/>
          <w:b/>
        </w:rPr>
        <w:t>”</w:t>
      </w:r>
      <w:r w:rsidR="00EE56A7" w:rsidRPr="00A343CA">
        <w:rPr>
          <w:rFonts w:ascii="Arial" w:hAnsi="Arial" w:cs="Arial"/>
        </w:rPr>
        <w:t xml:space="preserve"> </w:t>
      </w:r>
      <w:r w:rsidR="00A26CD3">
        <w:rPr>
          <w:rFonts w:ascii="Arial" w:hAnsi="Arial" w:cs="Arial"/>
          <w:bCs/>
        </w:rPr>
        <w:t>means</w:t>
      </w:r>
      <w:r w:rsidR="00A26CD3" w:rsidRPr="00A343CA">
        <w:rPr>
          <w:rFonts w:ascii="Arial" w:hAnsi="Arial" w:cs="Arial"/>
        </w:rPr>
        <w:t xml:space="preserve"> </w:t>
      </w:r>
      <w:r w:rsidR="00EE56A7" w:rsidRPr="00A343CA">
        <w:rPr>
          <w:rFonts w:ascii="Arial" w:hAnsi="Arial" w:cs="Arial"/>
        </w:rPr>
        <w:t>in relation to either Party, any circumstances beyond the reasonable control of that Party including (insofar as beyond such control but without prejudice to the generality of the foregoing expression), without limitation, any strike, lock-out, or other form of industrial action, war, riot, civil commotion, malicious damage, compliance with any law or governmental order, rule, regulation or direction, accident, breakdown of plant or machinery, fire, flood, storm or Act of God or act of nature</w:t>
      </w:r>
      <w:r w:rsidR="006D472A" w:rsidRPr="00A343CA">
        <w:rPr>
          <w:rFonts w:ascii="Arial" w:hAnsi="Arial" w:cs="Arial"/>
        </w:rPr>
        <w:t>; provided that in each case a mere shortage of materials, equipment, labour or supplies and any event or other consequence arising as a result of or in connection with Brexit shall not constitute Force Majeure</w:t>
      </w:r>
      <w:r w:rsidR="00EE56A7" w:rsidRPr="00A343CA">
        <w:rPr>
          <w:rFonts w:ascii="Arial" w:hAnsi="Arial" w:cs="Arial"/>
        </w:rPr>
        <w:t>;</w:t>
      </w:r>
    </w:p>
    <w:p w14:paraId="5C98AF70" w14:textId="57FF3D85" w:rsidR="00EE56A7" w:rsidRPr="00A343CA" w:rsidRDefault="00EC019C" w:rsidP="00730E8E">
      <w:pPr>
        <w:spacing w:before="120" w:line="240" w:lineRule="auto"/>
        <w:ind w:left="720"/>
        <w:jc w:val="both"/>
        <w:rPr>
          <w:rFonts w:ascii="Arial" w:hAnsi="Arial" w:cs="Arial"/>
        </w:rPr>
      </w:pPr>
      <w:r w:rsidRPr="00A343CA">
        <w:rPr>
          <w:rFonts w:ascii="Arial" w:hAnsi="Arial" w:cs="Arial"/>
          <w:b/>
        </w:rPr>
        <w:t>“</w:t>
      </w:r>
      <w:r w:rsidR="00EE56A7" w:rsidRPr="00A343CA">
        <w:rPr>
          <w:rFonts w:ascii="Arial" w:hAnsi="Arial" w:cs="Arial"/>
          <w:b/>
        </w:rPr>
        <w:t>FOIA</w:t>
      </w:r>
      <w:r w:rsidRPr="00A343CA">
        <w:rPr>
          <w:rFonts w:ascii="Arial" w:hAnsi="Arial" w:cs="Arial"/>
          <w:b/>
        </w:rPr>
        <w:t>”</w:t>
      </w:r>
      <w:r w:rsidR="00A26CD3" w:rsidRPr="00A26CD3">
        <w:rPr>
          <w:rFonts w:ascii="Arial" w:hAnsi="Arial" w:cs="Arial"/>
          <w:bCs/>
        </w:rPr>
        <w:t xml:space="preserve"> </w:t>
      </w:r>
      <w:r w:rsidR="00A26CD3">
        <w:rPr>
          <w:rFonts w:ascii="Arial" w:hAnsi="Arial" w:cs="Arial"/>
          <w:bCs/>
        </w:rPr>
        <w:t>means</w:t>
      </w:r>
      <w:r w:rsidR="00EE56A7" w:rsidRPr="00A343CA">
        <w:rPr>
          <w:rFonts w:ascii="Arial" w:hAnsi="Arial" w:cs="Arial"/>
        </w:rPr>
        <w:t xml:space="preserve"> the Freedom of Information Act 2000;</w:t>
      </w:r>
    </w:p>
    <w:p w14:paraId="21747E2E" w14:textId="08C96AD5" w:rsidR="006A4C40" w:rsidRPr="00730E8E" w:rsidRDefault="693F2413" w:rsidP="7D6BE9DE">
      <w:pPr>
        <w:pStyle w:val="Body2"/>
        <w:spacing w:after="200" w:line="240" w:lineRule="auto"/>
        <w:ind w:left="709"/>
        <w:rPr>
          <w:rFonts w:cs="Arial"/>
          <w:color w:val="000000"/>
          <w:sz w:val="22"/>
        </w:rPr>
      </w:pPr>
      <w:r w:rsidRPr="7D6BE9DE">
        <w:rPr>
          <w:rFonts w:cs="Arial"/>
          <w:sz w:val="22"/>
        </w:rPr>
        <w:t>“</w:t>
      </w:r>
      <w:r w:rsidRPr="7D6BE9DE">
        <w:rPr>
          <w:rFonts w:cs="Arial"/>
          <w:b/>
          <w:bCs/>
          <w:sz w:val="22"/>
        </w:rPr>
        <w:t>Funded Activities</w:t>
      </w:r>
      <w:r w:rsidRPr="7D6BE9DE">
        <w:rPr>
          <w:rFonts w:cs="Arial"/>
          <w:sz w:val="22"/>
        </w:rPr>
        <w:t>”</w:t>
      </w:r>
      <w:r w:rsidRPr="7D6BE9DE">
        <w:rPr>
          <w:rFonts w:cs="Arial"/>
          <w:b/>
          <w:bCs/>
          <w:sz w:val="22"/>
        </w:rPr>
        <w:t xml:space="preserve"> </w:t>
      </w:r>
      <w:r w:rsidR="71DC0D47" w:rsidRPr="7D6BE9DE">
        <w:rPr>
          <w:rFonts w:cs="Arial"/>
        </w:rPr>
        <w:t xml:space="preserve">means </w:t>
      </w:r>
      <w:r w:rsidR="76C0B6FE" w:rsidRPr="7D6BE9DE">
        <w:rPr>
          <w:rFonts w:cs="Arial"/>
          <w:sz w:val="22"/>
        </w:rPr>
        <w:t xml:space="preserve">the activities for which the Grant has been awarded, in </w:t>
      </w:r>
      <w:r w:rsidR="6EC17B13" w:rsidRPr="7D6BE9DE">
        <w:rPr>
          <w:rFonts w:cs="Arial"/>
          <w:sz w:val="22"/>
        </w:rPr>
        <w:t>furtherance</w:t>
      </w:r>
      <w:r w:rsidR="76C0B6FE" w:rsidRPr="7D6BE9DE">
        <w:rPr>
          <w:rFonts w:cs="Arial"/>
          <w:sz w:val="22"/>
        </w:rPr>
        <w:t xml:space="preserve"> of the </w:t>
      </w:r>
      <w:r w:rsidR="4C574C7F" w:rsidRPr="7D6BE9DE">
        <w:rPr>
          <w:rFonts w:cs="Arial"/>
          <w:sz w:val="22"/>
        </w:rPr>
        <w:t>GHWP</w:t>
      </w:r>
      <w:r w:rsidR="6EC17B13" w:rsidRPr="7D6BE9DE">
        <w:rPr>
          <w:rFonts w:cs="Arial"/>
          <w:sz w:val="22"/>
        </w:rPr>
        <w:t xml:space="preserve"> project and in compliance with </w:t>
      </w:r>
      <w:r w:rsidR="244908E6" w:rsidRPr="7D6BE9DE">
        <w:rPr>
          <w:rFonts w:cs="Arial"/>
          <w:sz w:val="22"/>
        </w:rPr>
        <w:t>paragraph</w:t>
      </w:r>
      <w:r w:rsidR="6EC17B13" w:rsidRPr="7D6BE9DE">
        <w:rPr>
          <w:rFonts w:cs="Arial"/>
          <w:sz w:val="22"/>
        </w:rPr>
        <w:t xml:space="preserve"> 1</w:t>
      </w:r>
      <w:r w:rsidR="787AC026" w:rsidRPr="7D6BE9DE">
        <w:rPr>
          <w:rFonts w:cs="Arial"/>
          <w:sz w:val="22"/>
        </w:rPr>
        <w:t xml:space="preserve"> (Purpose of Grant)</w:t>
      </w:r>
      <w:r w:rsidR="6EC17B13" w:rsidRPr="7D6BE9DE">
        <w:rPr>
          <w:rFonts w:cs="Arial"/>
          <w:sz w:val="22"/>
        </w:rPr>
        <w:t xml:space="preserve"> of the</w:t>
      </w:r>
      <w:r w:rsidR="1B324622" w:rsidRPr="7D6BE9DE">
        <w:rPr>
          <w:rFonts w:cs="Arial"/>
          <w:sz w:val="22"/>
        </w:rPr>
        <w:t xml:space="preserve"> terms of this</w:t>
      </w:r>
      <w:r w:rsidR="6EC17B13" w:rsidRPr="7D6BE9DE">
        <w:rPr>
          <w:rFonts w:cs="Arial"/>
          <w:sz w:val="22"/>
        </w:rPr>
        <w:t xml:space="preserve"> Agreement</w:t>
      </w:r>
      <w:r w:rsidR="27FF0C88" w:rsidRPr="7D6BE9DE">
        <w:rPr>
          <w:rFonts w:cs="Arial"/>
          <w:sz w:val="22"/>
        </w:rPr>
        <w:t>;</w:t>
      </w:r>
    </w:p>
    <w:p w14:paraId="3EE28C7D" w14:textId="06415ECA" w:rsidR="001F2B1F" w:rsidRPr="00A343CA" w:rsidRDefault="00EC019C" w:rsidP="00730E8E">
      <w:pPr>
        <w:spacing w:before="120" w:line="240" w:lineRule="auto"/>
        <w:ind w:left="720"/>
        <w:jc w:val="both"/>
        <w:rPr>
          <w:rFonts w:ascii="Arial" w:hAnsi="Arial" w:cs="Arial"/>
        </w:rPr>
      </w:pPr>
      <w:r w:rsidRPr="00A343CA">
        <w:rPr>
          <w:rFonts w:ascii="Arial" w:hAnsi="Arial" w:cs="Arial"/>
          <w:b/>
        </w:rPr>
        <w:t>“</w:t>
      </w:r>
      <w:r w:rsidR="005C6765" w:rsidRPr="00A343CA">
        <w:rPr>
          <w:rFonts w:ascii="Arial" w:hAnsi="Arial" w:cs="Arial"/>
          <w:b/>
        </w:rPr>
        <w:t>Funding Agreement</w:t>
      </w:r>
      <w:r w:rsidRPr="00A343CA">
        <w:rPr>
          <w:rFonts w:ascii="Arial" w:hAnsi="Arial" w:cs="Arial"/>
        </w:rPr>
        <w:t>”</w:t>
      </w:r>
      <w:r w:rsidR="000833AC" w:rsidRPr="000833AC">
        <w:rPr>
          <w:rFonts w:ascii="Arial" w:hAnsi="Arial" w:cs="Arial"/>
          <w:bCs/>
        </w:rPr>
        <w:t xml:space="preserve"> </w:t>
      </w:r>
      <w:r w:rsidR="000833AC">
        <w:rPr>
          <w:rFonts w:ascii="Arial" w:hAnsi="Arial" w:cs="Arial"/>
          <w:bCs/>
        </w:rPr>
        <w:t>means</w:t>
      </w:r>
      <w:r w:rsidR="005C6765" w:rsidRPr="00A343CA">
        <w:rPr>
          <w:rFonts w:ascii="Arial" w:hAnsi="Arial" w:cs="Arial"/>
        </w:rPr>
        <w:t xml:space="preserve"> </w:t>
      </w:r>
      <w:r w:rsidR="009B4131" w:rsidRPr="00A343CA">
        <w:rPr>
          <w:rFonts w:ascii="Arial" w:hAnsi="Arial" w:cs="Arial"/>
        </w:rPr>
        <w:t xml:space="preserve">the </w:t>
      </w:r>
      <w:r w:rsidR="009B4131" w:rsidRPr="00730E8E">
        <w:rPr>
          <w:rFonts w:ascii="Arial" w:hAnsi="Arial" w:cs="Arial"/>
        </w:rPr>
        <w:t xml:space="preserve">grant agreement </w:t>
      </w:r>
      <w:r w:rsidR="001F2B1F" w:rsidRPr="00A343CA">
        <w:rPr>
          <w:rFonts w:ascii="Arial" w:hAnsi="Arial" w:cs="Arial"/>
        </w:rPr>
        <w:t xml:space="preserve">made between the DHSC and THET and Department </w:t>
      </w:r>
      <w:r w:rsidR="009B4131" w:rsidRPr="00730E8E">
        <w:rPr>
          <w:rFonts w:ascii="Arial" w:hAnsi="Arial" w:cs="Arial"/>
        </w:rPr>
        <w:t xml:space="preserve">dated </w:t>
      </w:r>
      <w:r w:rsidR="00ED5B1B">
        <w:rPr>
          <w:rFonts w:ascii="Arial" w:hAnsi="Arial" w:cs="Arial"/>
        </w:rPr>
        <w:t xml:space="preserve">01 </w:t>
      </w:r>
      <w:r w:rsidR="00040AFD">
        <w:rPr>
          <w:rFonts w:ascii="Arial" w:hAnsi="Arial" w:cs="Arial"/>
        </w:rPr>
        <w:t>August</w:t>
      </w:r>
      <w:r w:rsidR="009B4131" w:rsidRPr="00730E8E">
        <w:rPr>
          <w:rFonts w:ascii="Arial" w:hAnsi="Arial" w:cs="Arial"/>
        </w:rPr>
        <w:t xml:space="preserve"> 202</w:t>
      </w:r>
      <w:r w:rsidR="00040AFD">
        <w:rPr>
          <w:rFonts w:ascii="Arial" w:hAnsi="Arial" w:cs="Arial"/>
        </w:rPr>
        <w:t>3</w:t>
      </w:r>
      <w:r w:rsidR="00A250CC" w:rsidRPr="00A343CA">
        <w:rPr>
          <w:rFonts w:ascii="Arial" w:hAnsi="Arial" w:cs="Arial"/>
        </w:rPr>
        <w:t xml:space="preserve">, a redacted copy of which is set out </w:t>
      </w:r>
      <w:r w:rsidR="00AF0520">
        <w:rPr>
          <w:rFonts w:ascii="Arial" w:hAnsi="Arial" w:cs="Arial"/>
        </w:rPr>
        <w:t>at</w:t>
      </w:r>
      <w:r w:rsidR="00A250CC" w:rsidRPr="00A343CA">
        <w:rPr>
          <w:rFonts w:ascii="Arial" w:hAnsi="Arial" w:cs="Arial"/>
        </w:rPr>
        <w:t xml:space="preserve"> Annex </w:t>
      </w:r>
      <w:r w:rsidR="00F25E4F">
        <w:rPr>
          <w:rFonts w:ascii="Arial" w:hAnsi="Arial" w:cs="Arial"/>
        </w:rPr>
        <w:t>4</w:t>
      </w:r>
      <w:r w:rsidR="00A250CC" w:rsidRPr="00A343CA">
        <w:rPr>
          <w:rFonts w:ascii="Arial" w:hAnsi="Arial" w:cs="Arial"/>
        </w:rPr>
        <w:t xml:space="preserve"> hereto;</w:t>
      </w:r>
    </w:p>
    <w:p w14:paraId="688F5020" w14:textId="721D51E7" w:rsidR="00EE56A7" w:rsidRPr="00A343CA" w:rsidRDefault="00EC019C"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bCs/>
        </w:rPr>
        <w:t>“</w:t>
      </w:r>
      <w:r w:rsidR="00EE56A7" w:rsidRPr="00A343CA">
        <w:rPr>
          <w:rFonts w:ascii="Arial" w:hAnsi="Arial" w:cs="Arial"/>
          <w:b/>
          <w:bCs/>
        </w:rPr>
        <w:t>Grant</w:t>
      </w:r>
      <w:r w:rsidRPr="00A343CA">
        <w:rPr>
          <w:rFonts w:ascii="Arial" w:hAnsi="Arial" w:cs="Arial"/>
          <w:b/>
          <w:bCs/>
        </w:rPr>
        <w:t>”</w:t>
      </w:r>
      <w:r w:rsidR="000833AC" w:rsidRPr="000833AC">
        <w:rPr>
          <w:rFonts w:ascii="Arial" w:hAnsi="Arial" w:cs="Arial"/>
          <w:bCs/>
        </w:rPr>
        <w:t xml:space="preserve"> </w:t>
      </w:r>
      <w:r w:rsidR="000833AC">
        <w:rPr>
          <w:rFonts w:ascii="Arial" w:hAnsi="Arial" w:cs="Arial"/>
          <w:bCs/>
        </w:rPr>
        <w:t>means</w:t>
      </w:r>
      <w:r w:rsidR="00EE56A7" w:rsidRPr="00A343CA">
        <w:rPr>
          <w:rFonts w:ascii="Arial" w:hAnsi="Arial" w:cs="Arial"/>
        </w:rPr>
        <w:t xml:space="preserve"> a maximum sum of £</w:t>
      </w:r>
      <w:r w:rsidR="00162D02" w:rsidRPr="00A343CA">
        <w:rPr>
          <w:rFonts w:ascii="Arial" w:hAnsi="Arial" w:cs="Arial"/>
        </w:rPr>
        <w:t>[●]</w:t>
      </w:r>
      <w:r w:rsidR="00EA762F" w:rsidRPr="00A343CA">
        <w:rPr>
          <w:rFonts w:ascii="Arial" w:hAnsi="Arial" w:cs="Arial"/>
        </w:rPr>
        <w:t xml:space="preserve"> </w:t>
      </w:r>
      <w:r w:rsidR="00EE56A7" w:rsidRPr="00A343CA">
        <w:rPr>
          <w:rFonts w:ascii="Arial" w:hAnsi="Arial" w:cs="Arial"/>
        </w:rPr>
        <w:t xml:space="preserve">to be paid to the </w:t>
      </w:r>
      <w:r w:rsidR="00632356" w:rsidRPr="00A343CA">
        <w:rPr>
          <w:rFonts w:ascii="Arial" w:hAnsi="Arial" w:cs="Arial"/>
        </w:rPr>
        <w:t>Lead Partner</w:t>
      </w:r>
      <w:r w:rsidR="00EE56A7" w:rsidRPr="00A343CA">
        <w:rPr>
          <w:rFonts w:ascii="Arial" w:hAnsi="Arial" w:cs="Arial"/>
        </w:rPr>
        <w:t xml:space="preserve"> in accordance with this Agreement; </w:t>
      </w:r>
    </w:p>
    <w:p w14:paraId="5D01BFCD" w14:textId="3D4375EB" w:rsidR="00EE56A7" w:rsidRPr="00A343CA" w:rsidRDefault="00EC019C"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bCs/>
        </w:rPr>
        <w:t>“</w:t>
      </w:r>
      <w:r w:rsidR="00EE56A7" w:rsidRPr="00A343CA">
        <w:rPr>
          <w:rFonts w:ascii="Arial" w:hAnsi="Arial" w:cs="Arial"/>
          <w:b/>
          <w:bCs/>
        </w:rPr>
        <w:t>Grant Period</w:t>
      </w:r>
      <w:r w:rsidRPr="00A343CA">
        <w:rPr>
          <w:rFonts w:ascii="Arial" w:hAnsi="Arial" w:cs="Arial"/>
          <w:b/>
          <w:bCs/>
        </w:rPr>
        <w:t>”</w:t>
      </w:r>
      <w:r w:rsidR="000833AC" w:rsidRPr="000833AC">
        <w:rPr>
          <w:rFonts w:ascii="Arial" w:hAnsi="Arial" w:cs="Arial"/>
          <w:bCs/>
        </w:rPr>
        <w:t xml:space="preserve"> </w:t>
      </w:r>
      <w:r w:rsidR="000833AC">
        <w:rPr>
          <w:rFonts w:ascii="Arial" w:hAnsi="Arial" w:cs="Arial"/>
          <w:bCs/>
        </w:rPr>
        <w:t>means</w:t>
      </w:r>
      <w:r w:rsidR="00EE56A7" w:rsidRPr="00A343CA">
        <w:rPr>
          <w:rFonts w:ascii="Arial" w:hAnsi="Arial" w:cs="Arial"/>
        </w:rPr>
        <w:t xml:space="preserve"> the period for which the Grant is awarded starting on the C</w:t>
      </w:r>
      <w:r w:rsidR="00B77051" w:rsidRPr="00A343CA">
        <w:rPr>
          <w:rFonts w:ascii="Arial" w:hAnsi="Arial" w:cs="Arial"/>
        </w:rPr>
        <w:t xml:space="preserve">ommencement Date and ending on </w:t>
      </w:r>
      <w:r w:rsidR="00DD10BF">
        <w:rPr>
          <w:rFonts w:ascii="Arial" w:hAnsi="Arial" w:cs="Arial"/>
        </w:rPr>
        <w:t xml:space="preserve">31 </w:t>
      </w:r>
      <w:r w:rsidR="00A91799">
        <w:rPr>
          <w:rFonts w:ascii="Arial" w:hAnsi="Arial" w:cs="Arial"/>
        </w:rPr>
        <w:t>January</w:t>
      </w:r>
      <w:r w:rsidR="004F5BFA">
        <w:rPr>
          <w:rFonts w:ascii="Arial" w:hAnsi="Arial" w:cs="Arial"/>
        </w:rPr>
        <w:t xml:space="preserve"> 202</w:t>
      </w:r>
      <w:r w:rsidR="00A91799">
        <w:rPr>
          <w:rFonts w:ascii="Arial" w:hAnsi="Arial" w:cs="Arial"/>
        </w:rPr>
        <w:t>5</w:t>
      </w:r>
      <w:r w:rsidR="00DD10BF">
        <w:rPr>
          <w:rFonts w:ascii="Arial" w:hAnsi="Arial" w:cs="Arial"/>
        </w:rPr>
        <w:t>;</w:t>
      </w:r>
    </w:p>
    <w:p w14:paraId="2728160F" w14:textId="02CC3506" w:rsidR="00EE56A7" w:rsidRPr="00A343CA" w:rsidRDefault="00EC019C"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rPr>
        <w:t>“</w:t>
      </w:r>
      <w:r w:rsidR="00EE56A7" w:rsidRPr="00A343CA">
        <w:rPr>
          <w:rFonts w:ascii="Arial" w:hAnsi="Arial" w:cs="Arial"/>
          <w:b/>
        </w:rPr>
        <w:t>HRA</w:t>
      </w:r>
      <w:r w:rsidRPr="00A343CA">
        <w:rPr>
          <w:rFonts w:ascii="Arial" w:hAnsi="Arial" w:cs="Arial"/>
          <w:b/>
        </w:rPr>
        <w:t>”</w:t>
      </w:r>
      <w:r w:rsidR="000833AC" w:rsidRPr="000833AC">
        <w:rPr>
          <w:rFonts w:ascii="Arial" w:hAnsi="Arial" w:cs="Arial"/>
          <w:bCs/>
        </w:rPr>
        <w:t xml:space="preserve"> </w:t>
      </w:r>
      <w:r w:rsidR="000833AC">
        <w:rPr>
          <w:rFonts w:ascii="Arial" w:hAnsi="Arial" w:cs="Arial"/>
          <w:bCs/>
        </w:rPr>
        <w:t>means</w:t>
      </w:r>
      <w:r w:rsidR="00EE56A7" w:rsidRPr="00A343CA">
        <w:rPr>
          <w:rFonts w:ascii="Arial" w:hAnsi="Arial" w:cs="Arial"/>
        </w:rPr>
        <w:t xml:space="preserve"> the Human Rights Act 1998;</w:t>
      </w:r>
    </w:p>
    <w:p w14:paraId="47E2F738" w14:textId="631AD086" w:rsidR="00EE56A7" w:rsidRDefault="28E5AFE9" w:rsidP="00730E8E">
      <w:pPr>
        <w:widowControl w:val="0"/>
        <w:autoSpaceDE w:val="0"/>
        <w:autoSpaceDN w:val="0"/>
        <w:adjustRightInd w:val="0"/>
        <w:spacing w:before="120" w:line="240" w:lineRule="auto"/>
        <w:ind w:left="676"/>
        <w:jc w:val="both"/>
        <w:rPr>
          <w:rFonts w:ascii="Arial" w:hAnsi="Arial" w:cs="Arial"/>
        </w:rPr>
      </w:pPr>
      <w:r w:rsidRPr="7D6BE9DE">
        <w:rPr>
          <w:rFonts w:ascii="Arial" w:hAnsi="Arial" w:cs="Arial"/>
          <w:b/>
          <w:bCs/>
        </w:rPr>
        <w:t>“</w:t>
      </w:r>
      <w:r w:rsidR="01A3A62F" w:rsidRPr="7D6BE9DE">
        <w:rPr>
          <w:rFonts w:ascii="Arial" w:hAnsi="Arial" w:cs="Arial"/>
          <w:b/>
          <w:bCs/>
        </w:rPr>
        <w:t>IDA</w:t>
      </w:r>
      <w:r w:rsidRPr="7D6BE9DE">
        <w:rPr>
          <w:rFonts w:ascii="Arial" w:hAnsi="Arial" w:cs="Arial"/>
          <w:b/>
          <w:bCs/>
        </w:rPr>
        <w:t>”</w:t>
      </w:r>
      <w:r w:rsidR="71DC0D47" w:rsidRPr="7D6BE9DE">
        <w:rPr>
          <w:rFonts w:ascii="Arial" w:hAnsi="Arial" w:cs="Arial"/>
          <w:b/>
          <w:bCs/>
        </w:rPr>
        <w:t xml:space="preserve"> </w:t>
      </w:r>
      <w:r w:rsidR="71DC0D47" w:rsidRPr="7D6BE9DE">
        <w:rPr>
          <w:rFonts w:ascii="Arial" w:hAnsi="Arial" w:cs="Arial"/>
        </w:rPr>
        <w:t>means</w:t>
      </w:r>
      <w:r w:rsidR="01A3A62F" w:rsidRPr="7D6BE9DE">
        <w:rPr>
          <w:rFonts w:ascii="Arial" w:hAnsi="Arial" w:cs="Arial"/>
          <w:b/>
          <w:bCs/>
        </w:rPr>
        <w:t xml:space="preserve"> </w:t>
      </w:r>
      <w:r w:rsidR="01A3A62F" w:rsidRPr="7D6BE9DE">
        <w:rPr>
          <w:rFonts w:ascii="Arial" w:hAnsi="Arial" w:cs="Arial"/>
        </w:rPr>
        <w:t xml:space="preserve">the International Development Act 2002, a summary of which, including the </w:t>
      </w:r>
      <w:r w:rsidR="7D62A095" w:rsidRPr="7D6BE9DE">
        <w:rPr>
          <w:rFonts w:ascii="Arial" w:hAnsi="Arial" w:cs="Arial"/>
        </w:rPr>
        <w:t>Lead Partner</w:t>
      </w:r>
      <w:r w:rsidR="01A3A62F" w:rsidRPr="7D6BE9DE">
        <w:rPr>
          <w:rFonts w:ascii="Arial" w:hAnsi="Arial" w:cs="Arial"/>
        </w:rPr>
        <w:t xml:space="preserve">’s main responsibilities thereunder in relation to the </w:t>
      </w:r>
      <w:r w:rsidR="4C574C7F" w:rsidRPr="7D6BE9DE">
        <w:rPr>
          <w:rFonts w:ascii="Arial" w:hAnsi="Arial" w:cs="Arial"/>
        </w:rPr>
        <w:t>GHWP</w:t>
      </w:r>
      <w:r w:rsidR="01A3A62F" w:rsidRPr="7D6BE9DE">
        <w:rPr>
          <w:rFonts w:ascii="Arial" w:hAnsi="Arial" w:cs="Arial"/>
        </w:rPr>
        <w:t xml:space="preserve"> and the Grant, is attached to this Agreement at Annex 1;</w:t>
      </w:r>
    </w:p>
    <w:p w14:paraId="118DCCD4" w14:textId="3BBE002D" w:rsidR="00DD10BF" w:rsidRPr="00730E8E" w:rsidRDefault="00DD10BF" w:rsidP="00730E8E">
      <w:pPr>
        <w:widowControl w:val="0"/>
        <w:autoSpaceDE w:val="0"/>
        <w:autoSpaceDN w:val="0"/>
        <w:adjustRightInd w:val="0"/>
        <w:spacing w:before="120" w:line="240" w:lineRule="auto"/>
        <w:ind w:left="676"/>
        <w:rPr>
          <w:rFonts w:ascii="Arial" w:hAnsi="Arial" w:cs="Arial"/>
        </w:rPr>
      </w:pPr>
      <w:r w:rsidRPr="00DD10BF">
        <w:rPr>
          <w:rFonts w:ascii="Arial" w:hAnsi="Arial" w:cs="Arial"/>
          <w:b/>
        </w:rPr>
        <w:t>“Information Acts”</w:t>
      </w:r>
      <w:r w:rsidR="000833AC">
        <w:rPr>
          <w:rFonts w:ascii="Arial" w:hAnsi="Arial" w:cs="Arial"/>
          <w:b/>
        </w:rPr>
        <w:t xml:space="preserve"> </w:t>
      </w:r>
      <w:r w:rsidR="000833AC">
        <w:rPr>
          <w:rFonts w:ascii="Arial" w:hAnsi="Arial" w:cs="Arial"/>
          <w:bCs/>
        </w:rPr>
        <w:t>means</w:t>
      </w:r>
      <w:r w:rsidRPr="00DD10BF">
        <w:rPr>
          <w:rFonts w:ascii="Arial" w:hAnsi="Arial" w:cs="Arial"/>
          <w:b/>
        </w:rPr>
        <w:t xml:space="preserve"> </w:t>
      </w:r>
      <w:r w:rsidR="00913503" w:rsidRPr="00913503">
        <w:rPr>
          <w:rFonts w:ascii="Arial" w:hAnsi="Arial" w:cs="Arial"/>
        </w:rPr>
        <w:t xml:space="preserve">the </w:t>
      </w:r>
      <w:r w:rsidR="00913503">
        <w:rPr>
          <w:rFonts w:ascii="Arial" w:hAnsi="Arial" w:cs="Arial"/>
        </w:rPr>
        <w:t>Data Protection Act</w:t>
      </w:r>
      <w:r w:rsidR="00C37B4D">
        <w:rPr>
          <w:rFonts w:ascii="Arial" w:hAnsi="Arial" w:cs="Arial"/>
        </w:rPr>
        <w:t xml:space="preserve"> 2018</w:t>
      </w:r>
      <w:r w:rsidR="00913503" w:rsidRPr="00913503">
        <w:rPr>
          <w:rFonts w:ascii="Arial" w:hAnsi="Arial" w:cs="Arial"/>
        </w:rPr>
        <w:t>,</w:t>
      </w:r>
      <w:r w:rsidR="00C37B4D">
        <w:rPr>
          <w:rFonts w:ascii="Arial" w:hAnsi="Arial" w:cs="Arial"/>
        </w:rPr>
        <w:t xml:space="preserve"> UK</w:t>
      </w:r>
      <w:r w:rsidR="00913503" w:rsidRPr="00913503">
        <w:rPr>
          <w:rFonts w:ascii="Arial" w:hAnsi="Arial" w:cs="Arial"/>
        </w:rPr>
        <w:t xml:space="preserve"> GDPR, FOIA and the EIR, as amended from time to time;</w:t>
      </w:r>
      <w:r w:rsidR="00963067">
        <w:rPr>
          <w:rFonts w:ascii="Arial" w:hAnsi="Arial" w:cs="Arial"/>
        </w:rPr>
        <w:t xml:space="preserve"> </w:t>
      </w:r>
    </w:p>
    <w:p w14:paraId="451BAB50" w14:textId="51581D32" w:rsidR="00503F46" w:rsidRPr="00730E8E" w:rsidRDefault="00503F46" w:rsidP="00730E8E">
      <w:pPr>
        <w:widowControl w:val="0"/>
        <w:autoSpaceDE w:val="0"/>
        <w:autoSpaceDN w:val="0"/>
        <w:adjustRightInd w:val="0"/>
        <w:spacing w:before="120" w:line="240" w:lineRule="auto"/>
        <w:ind w:left="676"/>
        <w:rPr>
          <w:rFonts w:ascii="Arial" w:hAnsi="Arial" w:cs="Arial"/>
          <w:bCs/>
        </w:rPr>
      </w:pPr>
      <w:r>
        <w:rPr>
          <w:rFonts w:ascii="Arial" w:hAnsi="Arial" w:cs="Arial"/>
          <w:b/>
        </w:rPr>
        <w:t>“Inventory</w:t>
      </w:r>
      <w:r>
        <w:rPr>
          <w:rFonts w:ascii="Arial" w:hAnsi="Arial" w:cs="Arial"/>
          <w:bCs/>
        </w:rPr>
        <w:t>”</w:t>
      </w:r>
      <w:r w:rsidR="000833AC">
        <w:rPr>
          <w:rFonts w:ascii="Arial" w:hAnsi="Arial" w:cs="Arial"/>
          <w:bCs/>
        </w:rPr>
        <w:t xml:space="preserve"> means</w:t>
      </w:r>
      <w:r>
        <w:rPr>
          <w:rFonts w:ascii="Arial" w:hAnsi="Arial" w:cs="Arial"/>
          <w:bCs/>
        </w:rPr>
        <w:t xml:space="preserve"> has the meaning given to in</w:t>
      </w:r>
      <w:r w:rsidR="00FC5707">
        <w:rPr>
          <w:rFonts w:ascii="Arial" w:hAnsi="Arial" w:cs="Arial"/>
          <w:bCs/>
        </w:rPr>
        <w:t xml:space="preserve"> paragraph</w:t>
      </w:r>
      <w:r w:rsidR="00705449">
        <w:rPr>
          <w:rFonts w:ascii="Arial" w:hAnsi="Arial" w:cs="Arial"/>
          <w:bCs/>
        </w:rPr>
        <w:t xml:space="preserve"> </w:t>
      </w:r>
      <w:r w:rsidR="0084560E">
        <w:rPr>
          <w:rFonts w:ascii="Arial" w:hAnsi="Arial" w:cs="Arial"/>
          <w:bCs/>
        </w:rPr>
        <w:fldChar w:fldCharType="begin"/>
      </w:r>
      <w:r w:rsidR="0084560E">
        <w:rPr>
          <w:rFonts w:ascii="Arial" w:hAnsi="Arial" w:cs="Arial"/>
          <w:bCs/>
        </w:rPr>
        <w:instrText xml:space="preserve"> REF _Ref124837880 \r \h </w:instrText>
      </w:r>
      <w:r w:rsidR="0084560E">
        <w:rPr>
          <w:rFonts w:ascii="Arial" w:hAnsi="Arial" w:cs="Arial"/>
          <w:bCs/>
        </w:rPr>
      </w:r>
      <w:r w:rsidR="0084560E">
        <w:rPr>
          <w:rFonts w:ascii="Arial" w:hAnsi="Arial" w:cs="Arial"/>
          <w:bCs/>
        </w:rPr>
        <w:fldChar w:fldCharType="separate"/>
      </w:r>
      <w:r w:rsidR="006B5F2E">
        <w:rPr>
          <w:rFonts w:ascii="Arial" w:hAnsi="Arial" w:cs="Arial"/>
          <w:bCs/>
        </w:rPr>
        <w:t>5.13</w:t>
      </w:r>
      <w:r w:rsidR="0084560E">
        <w:rPr>
          <w:rFonts w:ascii="Arial" w:hAnsi="Arial" w:cs="Arial"/>
          <w:bCs/>
        </w:rPr>
        <w:fldChar w:fldCharType="end"/>
      </w:r>
      <w:r w:rsidR="000713FE">
        <w:rPr>
          <w:rFonts w:ascii="Arial" w:hAnsi="Arial" w:cs="Arial"/>
          <w:bCs/>
        </w:rPr>
        <w:t xml:space="preserve"> (</w:t>
      </w:r>
      <w:r w:rsidR="000713FE" w:rsidRPr="000713FE">
        <w:rPr>
          <w:rFonts w:ascii="Arial" w:hAnsi="Arial" w:cs="Arial"/>
          <w:bCs/>
        </w:rPr>
        <w:t>Accounts, Records, Assets Inventory and Audit</w:t>
      </w:r>
      <w:r w:rsidR="000713FE">
        <w:rPr>
          <w:rFonts w:ascii="Arial" w:hAnsi="Arial" w:cs="Arial"/>
          <w:bCs/>
        </w:rPr>
        <w:t>)</w:t>
      </w:r>
      <w:r>
        <w:rPr>
          <w:rFonts w:ascii="Arial" w:hAnsi="Arial" w:cs="Arial"/>
          <w:bCs/>
        </w:rPr>
        <w:t>;</w:t>
      </w:r>
    </w:p>
    <w:p w14:paraId="6932FAE7" w14:textId="037D6587" w:rsidR="00EE56A7" w:rsidRPr="00A343CA" w:rsidRDefault="00EC019C"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rPr>
        <w:t>“</w:t>
      </w:r>
      <w:r w:rsidR="00EE56A7" w:rsidRPr="00A343CA">
        <w:rPr>
          <w:rFonts w:ascii="Arial" w:hAnsi="Arial" w:cs="Arial"/>
          <w:b/>
        </w:rPr>
        <w:t>Intellectual Property Rights</w:t>
      </w:r>
      <w:r w:rsidRPr="00A343CA">
        <w:rPr>
          <w:rFonts w:ascii="Arial" w:hAnsi="Arial" w:cs="Arial"/>
          <w:b/>
        </w:rPr>
        <w:t>”</w:t>
      </w:r>
      <w:r w:rsidR="00EE56A7" w:rsidRPr="00A343CA">
        <w:rPr>
          <w:rFonts w:ascii="Arial" w:hAnsi="Arial" w:cs="Arial"/>
        </w:rPr>
        <w:t xml:space="preserve"> </w:t>
      </w:r>
      <w:r w:rsidR="000833AC">
        <w:rPr>
          <w:rFonts w:ascii="Arial" w:hAnsi="Arial" w:cs="Arial"/>
          <w:bCs/>
        </w:rPr>
        <w:t>means</w:t>
      </w:r>
      <w:r w:rsidR="000833AC" w:rsidRPr="00A343CA">
        <w:rPr>
          <w:rFonts w:ascii="Arial" w:hAnsi="Arial" w:cs="Arial"/>
        </w:rPr>
        <w:t xml:space="preserve"> </w:t>
      </w:r>
      <w:r w:rsidR="00EE56A7" w:rsidRPr="00A343CA">
        <w:rPr>
          <w:rFonts w:ascii="Arial" w:hAnsi="Arial" w:cs="Arial"/>
        </w:rPr>
        <w:t>all patents,</w:t>
      </w:r>
      <w:r w:rsidR="006D472A" w:rsidRPr="00A343CA">
        <w:rPr>
          <w:rFonts w:ascii="Arial" w:hAnsi="Arial" w:cs="Arial"/>
        </w:rPr>
        <w:t xml:space="preserve"> petty patents, rights in trade secrets (such as inventions (whether patentable or not)), </w:t>
      </w:r>
      <w:r w:rsidR="003170D7" w:rsidRPr="00A343CA">
        <w:rPr>
          <w:rFonts w:ascii="Arial" w:hAnsi="Arial" w:cs="Arial"/>
        </w:rPr>
        <w:t>trademarks</w:t>
      </w:r>
      <w:r w:rsidR="006D472A" w:rsidRPr="00A343CA">
        <w:rPr>
          <w:rFonts w:ascii="Arial" w:hAnsi="Arial" w:cs="Arial"/>
        </w:rPr>
        <w:t>, service marks</w:t>
      </w:r>
      <w:r w:rsidR="00EE56A7" w:rsidRPr="00A343CA">
        <w:rPr>
          <w:rFonts w:ascii="Arial" w:hAnsi="Arial" w:cs="Arial"/>
        </w:rPr>
        <w:t xml:space="preserve"> copyrights </w:t>
      </w:r>
      <w:r w:rsidR="006D472A" w:rsidRPr="00A343CA">
        <w:rPr>
          <w:rFonts w:ascii="Arial" w:hAnsi="Arial" w:cs="Arial"/>
        </w:rPr>
        <w:t xml:space="preserve">(including authors' and neighbouring or related "moral" rights) </w:t>
      </w:r>
      <w:r w:rsidR="00EE56A7" w:rsidRPr="00A343CA">
        <w:rPr>
          <w:rFonts w:ascii="Arial" w:hAnsi="Arial" w:cs="Arial"/>
        </w:rPr>
        <w:t xml:space="preserve">and design rights (whether registered or not) and all applications for any of the foregoing and all rights of confidence and Know-How however arising for their full term and any renewals and extensions; </w:t>
      </w:r>
    </w:p>
    <w:p w14:paraId="63D06EC5" w14:textId="13505815" w:rsidR="00EE56A7" w:rsidRPr="00A343CA" w:rsidRDefault="00EC019C"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rPr>
        <w:lastRenderedPageBreak/>
        <w:t>“</w:t>
      </w:r>
      <w:r w:rsidR="00EE56A7" w:rsidRPr="00A343CA">
        <w:rPr>
          <w:rFonts w:ascii="Arial" w:hAnsi="Arial" w:cs="Arial"/>
          <w:b/>
        </w:rPr>
        <w:t>Know-How</w:t>
      </w:r>
      <w:r w:rsidRPr="00A343CA">
        <w:rPr>
          <w:rFonts w:ascii="Arial" w:hAnsi="Arial" w:cs="Arial"/>
          <w:b/>
        </w:rPr>
        <w:t>”</w:t>
      </w:r>
      <w:r w:rsidR="00EE56A7" w:rsidRPr="00A343CA">
        <w:rPr>
          <w:rFonts w:ascii="Arial" w:hAnsi="Arial" w:cs="Arial"/>
          <w:b/>
        </w:rPr>
        <w:t xml:space="preserve"> </w:t>
      </w:r>
      <w:r w:rsidR="000833AC">
        <w:rPr>
          <w:rFonts w:ascii="Arial" w:hAnsi="Arial" w:cs="Arial"/>
          <w:bCs/>
        </w:rPr>
        <w:t>means</w:t>
      </w:r>
      <w:r w:rsidR="000833AC" w:rsidRPr="00A343CA">
        <w:rPr>
          <w:rFonts w:ascii="Arial" w:hAnsi="Arial" w:cs="Arial"/>
        </w:rPr>
        <w:t xml:space="preserve"> </w:t>
      </w:r>
      <w:r w:rsidR="00EE56A7" w:rsidRPr="00A343CA">
        <w:rPr>
          <w:rFonts w:ascii="Arial" w:hAnsi="Arial" w:cs="Arial"/>
        </w:rPr>
        <w:t>information, data, know-how or experience whether patentable or not and including but not limited to any technical and commercial information relating to research, design, development, manufacture, use or sale;</w:t>
      </w:r>
    </w:p>
    <w:p w14:paraId="3CD75E3F" w14:textId="61E7C188" w:rsidR="003A7298" w:rsidRPr="00A343CA" w:rsidRDefault="003A7298"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rPr>
        <w:t>“</w:t>
      </w:r>
      <w:r w:rsidRPr="00A343CA">
        <w:rPr>
          <w:rFonts w:ascii="Arial" w:hAnsi="Arial" w:cs="Arial"/>
          <w:b/>
          <w:bCs/>
        </w:rPr>
        <w:t>Losses</w:t>
      </w:r>
      <w:r w:rsidRPr="00A343CA">
        <w:rPr>
          <w:rFonts w:ascii="Arial" w:hAnsi="Arial" w:cs="Arial"/>
        </w:rPr>
        <w:t>” means all</w:t>
      </w:r>
      <w:r w:rsidR="00B729B1">
        <w:rPr>
          <w:rFonts w:ascii="Arial" w:hAnsi="Arial" w:cs="Arial"/>
        </w:rPr>
        <w:t xml:space="preserve"> claims, demands, actions</w:t>
      </w:r>
      <w:r w:rsidRPr="00A343CA">
        <w:rPr>
          <w:rFonts w:ascii="Arial" w:hAnsi="Arial" w:cs="Arial"/>
        </w:rPr>
        <w:t xml:space="preserve"> losses, liabilities, damages, costs, expenses (including legal fees), disbursements, costs of investigation, litigation, settlement, judgment, interest and penalties whether arising in contract, tort (including negligence), breach of statutory duty, misrepresentation or otherwise;</w:t>
      </w:r>
    </w:p>
    <w:p w14:paraId="4D327C10" w14:textId="275D22A9" w:rsidR="006572EC" w:rsidRPr="00A343CA" w:rsidRDefault="00EC019C"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rPr>
        <w:t>“</w:t>
      </w:r>
      <w:r w:rsidR="006572EC" w:rsidRPr="00A343CA">
        <w:rPr>
          <w:rFonts w:ascii="Arial" w:hAnsi="Arial" w:cs="Arial"/>
          <w:b/>
        </w:rPr>
        <w:t>Modern Slavery Act</w:t>
      </w:r>
      <w:r w:rsidRPr="00A343CA">
        <w:rPr>
          <w:rFonts w:ascii="Arial" w:hAnsi="Arial" w:cs="Arial"/>
          <w:b/>
        </w:rPr>
        <w:t>”</w:t>
      </w:r>
      <w:r w:rsidR="000833AC" w:rsidRPr="000833AC">
        <w:rPr>
          <w:rFonts w:ascii="Arial" w:hAnsi="Arial" w:cs="Arial"/>
          <w:bCs/>
        </w:rPr>
        <w:t xml:space="preserve"> </w:t>
      </w:r>
      <w:r w:rsidR="000833AC">
        <w:rPr>
          <w:rFonts w:ascii="Arial" w:hAnsi="Arial" w:cs="Arial"/>
          <w:bCs/>
        </w:rPr>
        <w:t>means</w:t>
      </w:r>
      <w:r w:rsidR="006572EC" w:rsidRPr="00A343CA">
        <w:rPr>
          <w:rFonts w:ascii="Arial" w:hAnsi="Arial" w:cs="Arial"/>
        </w:rPr>
        <w:t xml:space="preserve"> Modern Slavery Act 2015 and any subordinate legislation made under that Act from time to time together with any guidance or codes of practice issued by the relevant government department concerning the legislation;</w:t>
      </w:r>
    </w:p>
    <w:p w14:paraId="1ADC82BA" w14:textId="77777777" w:rsidR="00B729B1" w:rsidRPr="00730E8E" w:rsidRDefault="00B729B1" w:rsidP="00730E8E">
      <w:pPr>
        <w:widowControl w:val="0"/>
        <w:autoSpaceDE w:val="0"/>
        <w:autoSpaceDN w:val="0"/>
        <w:adjustRightInd w:val="0"/>
        <w:spacing w:before="120" w:line="240" w:lineRule="auto"/>
        <w:ind w:left="676"/>
        <w:jc w:val="both"/>
        <w:rPr>
          <w:rFonts w:ascii="Arial" w:hAnsi="Arial" w:cs="Arial"/>
        </w:rPr>
      </w:pPr>
      <w:r w:rsidRPr="00B729B1">
        <w:rPr>
          <w:rFonts w:ascii="Arial" w:hAnsi="Arial" w:cs="Arial"/>
          <w:b/>
        </w:rPr>
        <w:t xml:space="preserve">“ODA” </w:t>
      </w:r>
      <w:r w:rsidRPr="00730E8E">
        <w:rPr>
          <w:rFonts w:ascii="Arial" w:hAnsi="Arial" w:cs="Arial"/>
        </w:rPr>
        <w:t>means official development assistance as defined by the OECD;</w:t>
      </w:r>
    </w:p>
    <w:p w14:paraId="30B99750" w14:textId="19CAC0F1" w:rsidR="00B729B1" w:rsidRPr="00A343CA" w:rsidRDefault="00B729B1" w:rsidP="00730E8E">
      <w:pPr>
        <w:widowControl w:val="0"/>
        <w:autoSpaceDE w:val="0"/>
        <w:autoSpaceDN w:val="0"/>
        <w:adjustRightInd w:val="0"/>
        <w:spacing w:before="120" w:line="240" w:lineRule="auto"/>
        <w:ind w:firstLine="676"/>
        <w:jc w:val="both"/>
        <w:rPr>
          <w:rFonts w:ascii="Arial" w:hAnsi="Arial" w:cs="Arial"/>
        </w:rPr>
      </w:pPr>
      <w:r w:rsidRPr="00B729B1">
        <w:rPr>
          <w:rFonts w:ascii="Arial" w:hAnsi="Arial" w:cs="Arial"/>
          <w:b/>
        </w:rPr>
        <w:t xml:space="preserve">“OECD” </w:t>
      </w:r>
      <w:r w:rsidRPr="00730E8E">
        <w:rPr>
          <w:rFonts w:ascii="Arial" w:hAnsi="Arial" w:cs="Arial"/>
        </w:rPr>
        <w:t xml:space="preserve">means the Organisation for Economic Cooperation and Development; </w:t>
      </w:r>
    </w:p>
    <w:p w14:paraId="1871062F" w14:textId="528F23EB" w:rsidR="00EE56A7" w:rsidRPr="00A343CA" w:rsidRDefault="28E5AFE9" w:rsidP="00730E8E">
      <w:pPr>
        <w:widowControl w:val="0"/>
        <w:autoSpaceDE w:val="0"/>
        <w:autoSpaceDN w:val="0"/>
        <w:adjustRightInd w:val="0"/>
        <w:spacing w:before="120" w:line="240" w:lineRule="auto"/>
        <w:ind w:left="676"/>
        <w:jc w:val="both"/>
        <w:rPr>
          <w:rFonts w:ascii="Arial" w:hAnsi="Arial" w:cs="Arial"/>
        </w:rPr>
      </w:pPr>
      <w:r w:rsidRPr="7D6BE9DE">
        <w:rPr>
          <w:rFonts w:ascii="Arial" w:hAnsi="Arial" w:cs="Arial"/>
          <w:b/>
          <w:bCs/>
        </w:rPr>
        <w:t>“</w:t>
      </w:r>
      <w:r w:rsidR="01A3A62F" w:rsidRPr="7D6BE9DE">
        <w:rPr>
          <w:rFonts w:ascii="Arial" w:hAnsi="Arial" w:cs="Arial"/>
          <w:b/>
          <w:bCs/>
        </w:rPr>
        <w:t>Partner</w:t>
      </w:r>
      <w:r w:rsidRPr="7D6BE9DE">
        <w:rPr>
          <w:rFonts w:ascii="Arial" w:hAnsi="Arial" w:cs="Arial"/>
          <w:b/>
          <w:bCs/>
        </w:rPr>
        <w:t>”</w:t>
      </w:r>
      <w:r w:rsidR="01A3A62F" w:rsidRPr="7D6BE9DE">
        <w:rPr>
          <w:rFonts w:ascii="Arial" w:hAnsi="Arial" w:cs="Arial"/>
          <w:b/>
          <w:bCs/>
        </w:rPr>
        <w:t xml:space="preserve"> </w:t>
      </w:r>
      <w:r w:rsidR="71DC0D47" w:rsidRPr="7D6BE9DE">
        <w:rPr>
          <w:rFonts w:ascii="Arial" w:hAnsi="Arial" w:cs="Arial"/>
        </w:rPr>
        <w:t xml:space="preserve">means </w:t>
      </w:r>
      <w:r w:rsidR="01A3A62F" w:rsidRPr="7D6BE9DE">
        <w:rPr>
          <w:rFonts w:ascii="Arial" w:hAnsi="Arial" w:cs="Arial"/>
        </w:rPr>
        <w:t xml:space="preserve">those partners specified in the </w:t>
      </w:r>
      <w:r w:rsidR="00C41256">
        <w:rPr>
          <w:rFonts w:ascii="Arial" w:hAnsi="Arial" w:cs="Arial"/>
        </w:rPr>
        <w:t xml:space="preserve">Lead Partner's application in relation to the </w:t>
      </w:r>
      <w:r w:rsidR="4C574C7F" w:rsidRPr="7D6BE9DE">
        <w:rPr>
          <w:rFonts w:ascii="Arial" w:hAnsi="Arial" w:cs="Arial"/>
        </w:rPr>
        <w:t>GHWP</w:t>
      </w:r>
      <w:r w:rsidR="722CC925" w:rsidRPr="7D6BE9DE">
        <w:rPr>
          <w:rFonts w:ascii="Arial" w:hAnsi="Arial" w:cs="Arial"/>
        </w:rPr>
        <w:t xml:space="preserve"> </w:t>
      </w:r>
      <w:r w:rsidR="01A3A62F" w:rsidRPr="7D6BE9DE">
        <w:rPr>
          <w:rFonts w:ascii="Arial" w:hAnsi="Arial" w:cs="Arial"/>
        </w:rPr>
        <w:t xml:space="preserve">with whom the </w:t>
      </w:r>
      <w:r w:rsidR="7D62A095" w:rsidRPr="7D6BE9DE">
        <w:rPr>
          <w:rFonts w:ascii="Arial" w:hAnsi="Arial" w:cs="Arial"/>
        </w:rPr>
        <w:t>Lead Partner</w:t>
      </w:r>
      <w:r w:rsidR="01A3A62F" w:rsidRPr="7D6BE9DE">
        <w:rPr>
          <w:rFonts w:ascii="Arial" w:hAnsi="Arial" w:cs="Arial"/>
        </w:rPr>
        <w:t xml:space="preserve"> will work </w:t>
      </w:r>
      <w:r w:rsidR="00C41256">
        <w:rPr>
          <w:rFonts w:ascii="Arial" w:hAnsi="Arial" w:cs="Arial"/>
        </w:rPr>
        <w:t xml:space="preserve">with </w:t>
      </w:r>
      <w:r w:rsidR="01A3A62F" w:rsidRPr="7D6BE9DE">
        <w:rPr>
          <w:rFonts w:ascii="Arial" w:hAnsi="Arial" w:cs="Arial"/>
        </w:rPr>
        <w:t xml:space="preserve">in carrying out the </w:t>
      </w:r>
      <w:r w:rsidR="4C574C7F" w:rsidRPr="7D6BE9DE">
        <w:rPr>
          <w:rFonts w:ascii="Arial" w:hAnsi="Arial" w:cs="Arial"/>
        </w:rPr>
        <w:t>GHWP</w:t>
      </w:r>
      <w:r w:rsidR="00C41256">
        <w:rPr>
          <w:rFonts w:ascii="Arial" w:hAnsi="Arial" w:cs="Arial"/>
        </w:rPr>
        <w:t>;</w:t>
      </w:r>
    </w:p>
    <w:p w14:paraId="35A8A6ED" w14:textId="77777777" w:rsidR="009746F8" w:rsidRDefault="00916945" w:rsidP="00730E8E">
      <w:pPr>
        <w:widowControl w:val="0"/>
        <w:autoSpaceDE w:val="0"/>
        <w:autoSpaceDN w:val="0"/>
        <w:adjustRightInd w:val="0"/>
        <w:spacing w:before="120" w:line="240" w:lineRule="auto"/>
        <w:ind w:firstLine="669"/>
        <w:jc w:val="both"/>
        <w:rPr>
          <w:rFonts w:ascii="Arial" w:hAnsi="Arial" w:cs="Arial"/>
          <w:b/>
        </w:rPr>
      </w:pPr>
      <w:r>
        <w:rPr>
          <w:rFonts w:ascii="Arial" w:hAnsi="Arial" w:cs="Arial"/>
          <w:b/>
        </w:rPr>
        <w:t xml:space="preserve">“Party” </w:t>
      </w:r>
      <w:r w:rsidR="009746F8" w:rsidRPr="009746F8">
        <w:rPr>
          <w:rFonts w:ascii="Arial" w:hAnsi="Arial" w:cs="Arial"/>
          <w:bCs/>
        </w:rPr>
        <w:t>means a party to this Agreement;</w:t>
      </w:r>
    </w:p>
    <w:p w14:paraId="0CFD9FAD" w14:textId="041600AE" w:rsidR="00304A04" w:rsidRPr="00304A04" w:rsidRDefault="00304A04" w:rsidP="005F21EA">
      <w:pPr>
        <w:widowControl w:val="0"/>
        <w:autoSpaceDE w:val="0"/>
        <w:autoSpaceDN w:val="0"/>
        <w:adjustRightInd w:val="0"/>
        <w:spacing w:before="120" w:line="240" w:lineRule="auto"/>
        <w:ind w:left="669"/>
        <w:jc w:val="both"/>
        <w:rPr>
          <w:rFonts w:ascii="Arial" w:hAnsi="Arial" w:cs="Arial"/>
          <w:b/>
        </w:rPr>
      </w:pPr>
      <w:r w:rsidRPr="00304A04">
        <w:rPr>
          <w:rFonts w:ascii="Arial" w:hAnsi="Arial" w:cs="Arial"/>
          <w:b/>
        </w:rPr>
        <w:t>“Programme Funded Assets”</w:t>
      </w:r>
      <w:r w:rsidR="000833AC" w:rsidRPr="000833AC">
        <w:rPr>
          <w:rFonts w:ascii="Arial" w:hAnsi="Arial" w:cs="Arial"/>
          <w:bCs/>
        </w:rPr>
        <w:t xml:space="preserve"> </w:t>
      </w:r>
      <w:r w:rsidR="000833AC">
        <w:rPr>
          <w:rFonts w:ascii="Arial" w:hAnsi="Arial" w:cs="Arial"/>
          <w:bCs/>
        </w:rPr>
        <w:t>means</w:t>
      </w:r>
      <w:r w:rsidRPr="00304A04">
        <w:rPr>
          <w:rFonts w:ascii="Arial" w:hAnsi="Arial" w:cs="Arial"/>
          <w:b/>
        </w:rPr>
        <w:t xml:space="preserve"> </w:t>
      </w:r>
      <w:r w:rsidRPr="00730E8E">
        <w:rPr>
          <w:rFonts w:ascii="Arial" w:hAnsi="Arial" w:cs="Arial"/>
          <w:bCs/>
        </w:rPr>
        <w:t xml:space="preserve">has the meaning given to it in paragraph </w:t>
      </w:r>
      <w:r w:rsidR="00AF0520">
        <w:rPr>
          <w:rFonts w:ascii="Arial" w:hAnsi="Arial" w:cs="Arial"/>
          <w:bCs/>
        </w:rPr>
        <w:fldChar w:fldCharType="begin"/>
      </w:r>
      <w:r w:rsidR="00AF0520">
        <w:rPr>
          <w:rFonts w:ascii="Arial" w:hAnsi="Arial" w:cs="Arial"/>
          <w:bCs/>
        </w:rPr>
        <w:instrText xml:space="preserve"> REF _Ref124867537 \r \h </w:instrText>
      </w:r>
      <w:r w:rsidR="00AF0520">
        <w:rPr>
          <w:rFonts w:ascii="Arial" w:hAnsi="Arial" w:cs="Arial"/>
          <w:bCs/>
        </w:rPr>
      </w:r>
      <w:r w:rsidR="00AF0520">
        <w:rPr>
          <w:rFonts w:ascii="Arial" w:hAnsi="Arial" w:cs="Arial"/>
          <w:bCs/>
        </w:rPr>
        <w:fldChar w:fldCharType="separate"/>
      </w:r>
      <w:r w:rsidR="006B5F2E">
        <w:rPr>
          <w:rFonts w:ascii="Arial" w:hAnsi="Arial" w:cs="Arial"/>
          <w:bCs/>
        </w:rPr>
        <w:t>5.7</w:t>
      </w:r>
      <w:r w:rsidR="00AF0520">
        <w:rPr>
          <w:rFonts w:ascii="Arial" w:hAnsi="Arial" w:cs="Arial"/>
          <w:bCs/>
        </w:rPr>
        <w:fldChar w:fldCharType="end"/>
      </w:r>
      <w:r w:rsidR="00E3566C">
        <w:rPr>
          <w:rFonts w:ascii="Arial" w:hAnsi="Arial" w:cs="Arial"/>
          <w:bCs/>
        </w:rPr>
        <w:t xml:space="preserve"> (</w:t>
      </w:r>
      <w:r w:rsidR="00E3566C" w:rsidRPr="000713FE">
        <w:rPr>
          <w:rFonts w:ascii="Arial" w:hAnsi="Arial" w:cs="Arial"/>
          <w:bCs/>
        </w:rPr>
        <w:t>Accounts, Records, Assets Inventory and Audit</w:t>
      </w:r>
      <w:r w:rsidR="00E3566C">
        <w:rPr>
          <w:rFonts w:ascii="Arial" w:hAnsi="Arial" w:cs="Arial"/>
          <w:bCs/>
        </w:rPr>
        <w:t>)</w:t>
      </w:r>
      <w:r w:rsidRPr="00730E8E">
        <w:rPr>
          <w:rFonts w:ascii="Arial" w:hAnsi="Arial" w:cs="Arial"/>
          <w:bCs/>
        </w:rPr>
        <w:t>;</w:t>
      </w:r>
      <w:r w:rsidRPr="00304A04">
        <w:rPr>
          <w:rFonts w:ascii="Arial" w:hAnsi="Arial" w:cs="Arial"/>
          <w:b/>
        </w:rPr>
        <w:t xml:space="preserve"> </w:t>
      </w:r>
    </w:p>
    <w:p w14:paraId="56D07C04" w14:textId="41DE83F4" w:rsidR="00304A04" w:rsidRPr="00730E8E" w:rsidRDefault="00304A04" w:rsidP="00730E8E">
      <w:pPr>
        <w:widowControl w:val="0"/>
        <w:autoSpaceDE w:val="0"/>
        <w:autoSpaceDN w:val="0"/>
        <w:adjustRightInd w:val="0"/>
        <w:spacing w:before="120" w:line="240" w:lineRule="auto"/>
        <w:ind w:left="709"/>
        <w:jc w:val="both"/>
        <w:rPr>
          <w:rFonts w:ascii="Arial" w:hAnsi="Arial" w:cs="Arial"/>
          <w:bCs/>
        </w:rPr>
      </w:pPr>
      <w:r w:rsidRPr="00304A04">
        <w:rPr>
          <w:rFonts w:ascii="Arial" w:hAnsi="Arial" w:cs="Arial"/>
          <w:b/>
        </w:rPr>
        <w:t xml:space="preserve">“Procurement Regulations” </w:t>
      </w:r>
      <w:r w:rsidRPr="00730E8E">
        <w:rPr>
          <w:rFonts w:ascii="Arial" w:hAnsi="Arial" w:cs="Arial"/>
          <w:bCs/>
        </w:rPr>
        <w:t xml:space="preserve">means the Public Contracts Regulations </w:t>
      </w:r>
      <w:r w:rsidR="003317B3" w:rsidRPr="00730E8E">
        <w:rPr>
          <w:rFonts w:ascii="Arial" w:hAnsi="Arial" w:cs="Arial"/>
          <w:bCs/>
        </w:rPr>
        <w:t>2015, Concession</w:t>
      </w:r>
      <w:r w:rsidRPr="00730E8E">
        <w:rPr>
          <w:rFonts w:ascii="Arial" w:hAnsi="Arial" w:cs="Arial"/>
          <w:bCs/>
        </w:rPr>
        <w:t xml:space="preserve"> Contracts Regulations 2016, Utilities Contracts Regulations 2016 and Defence and Security Public Contracts Regulations 2011;</w:t>
      </w:r>
    </w:p>
    <w:p w14:paraId="4307008E" w14:textId="436D6535" w:rsidR="00EE56A7" w:rsidRPr="00A343CA" w:rsidRDefault="00EC019C" w:rsidP="00730E8E">
      <w:pPr>
        <w:widowControl w:val="0"/>
        <w:autoSpaceDE w:val="0"/>
        <w:autoSpaceDN w:val="0"/>
        <w:adjustRightInd w:val="0"/>
        <w:spacing w:before="120" w:line="240" w:lineRule="auto"/>
        <w:ind w:firstLine="669"/>
        <w:jc w:val="both"/>
        <w:rPr>
          <w:rFonts w:ascii="Arial" w:hAnsi="Arial" w:cs="Arial"/>
        </w:rPr>
      </w:pPr>
      <w:r w:rsidRPr="00A343CA">
        <w:rPr>
          <w:rFonts w:ascii="Arial" w:hAnsi="Arial" w:cs="Arial"/>
          <w:b/>
        </w:rPr>
        <w:t>“</w:t>
      </w:r>
      <w:r w:rsidR="00EE56A7" w:rsidRPr="00A343CA">
        <w:rPr>
          <w:rFonts w:ascii="Arial" w:hAnsi="Arial" w:cs="Arial"/>
          <w:b/>
        </w:rPr>
        <w:t>Prohibited Act</w:t>
      </w:r>
      <w:r w:rsidRPr="00A343CA">
        <w:rPr>
          <w:rFonts w:ascii="Arial" w:hAnsi="Arial" w:cs="Arial"/>
          <w:b/>
        </w:rPr>
        <w:t>”</w:t>
      </w:r>
      <w:r w:rsidR="00EE56A7" w:rsidRPr="00A343CA">
        <w:rPr>
          <w:rFonts w:ascii="Arial" w:hAnsi="Arial" w:cs="Arial"/>
        </w:rPr>
        <w:t xml:space="preserve"> means:</w:t>
      </w:r>
    </w:p>
    <w:p w14:paraId="7EAD2C5C" w14:textId="2E5DF88E" w:rsidR="00EE56A7" w:rsidRPr="00730E8E" w:rsidRDefault="00EE56A7" w:rsidP="00730E8E">
      <w:pPr>
        <w:pStyle w:val="MRNoHead7"/>
        <w:tabs>
          <w:tab w:val="clear" w:pos="5400"/>
          <w:tab w:val="num" w:pos="1389"/>
        </w:tabs>
        <w:spacing w:after="200" w:line="240" w:lineRule="auto"/>
        <w:ind w:left="1389"/>
        <w:rPr>
          <w:rFonts w:cs="Arial"/>
          <w:szCs w:val="22"/>
        </w:rPr>
      </w:pPr>
      <w:r w:rsidRPr="00730E8E">
        <w:rPr>
          <w:rFonts w:cs="Arial"/>
          <w:szCs w:val="22"/>
        </w:rPr>
        <w:t xml:space="preserve">offering, giving or agreeing to give to any servant of THET and/or </w:t>
      </w:r>
      <w:r w:rsidR="00B76D2C" w:rsidRPr="00730E8E">
        <w:rPr>
          <w:rFonts w:cs="Arial"/>
          <w:szCs w:val="22"/>
        </w:rPr>
        <w:t>DHSC</w:t>
      </w:r>
      <w:r w:rsidRPr="00730E8E">
        <w:rPr>
          <w:rFonts w:cs="Arial"/>
          <w:szCs w:val="22"/>
        </w:rPr>
        <w:t xml:space="preserve"> any gift or consideration of any kind as an inducement or reward for: </w:t>
      </w:r>
    </w:p>
    <w:p w14:paraId="548BD163" w14:textId="3F10A45A" w:rsidR="00EE56A7" w:rsidRPr="00A343CA" w:rsidRDefault="00EE56A7" w:rsidP="00730E8E">
      <w:pPr>
        <w:pStyle w:val="MRNoHead8"/>
        <w:numPr>
          <w:ilvl w:val="7"/>
          <w:numId w:val="61"/>
        </w:numPr>
        <w:tabs>
          <w:tab w:val="clear" w:pos="6120"/>
          <w:tab w:val="num" w:pos="2160"/>
        </w:tabs>
        <w:spacing w:after="200" w:line="240" w:lineRule="auto"/>
        <w:ind w:left="2160"/>
        <w:rPr>
          <w:rFonts w:cs="Arial"/>
          <w:szCs w:val="22"/>
        </w:rPr>
      </w:pPr>
      <w:r w:rsidRPr="00730E8E">
        <w:rPr>
          <w:rFonts w:cs="Arial"/>
          <w:szCs w:val="22"/>
        </w:rPr>
        <w:t xml:space="preserve">doing or not doing (or for having done or not having done) any act in relation to the obtaining or performance of this Agreement or any </w:t>
      </w:r>
      <w:r w:rsidRPr="00A343CA">
        <w:rPr>
          <w:rFonts w:cs="Arial"/>
          <w:szCs w:val="22"/>
        </w:rPr>
        <w:t xml:space="preserve">other contract with THET and/or </w:t>
      </w:r>
      <w:r w:rsidR="00B76D2C" w:rsidRPr="00A343CA">
        <w:rPr>
          <w:rFonts w:cs="Arial"/>
          <w:szCs w:val="22"/>
        </w:rPr>
        <w:t>DHSC</w:t>
      </w:r>
      <w:r w:rsidRPr="00A343CA">
        <w:rPr>
          <w:rFonts w:cs="Arial"/>
          <w:szCs w:val="22"/>
        </w:rPr>
        <w:t xml:space="preserve">; or </w:t>
      </w:r>
    </w:p>
    <w:p w14:paraId="12ECA87F" w14:textId="071C8A1E" w:rsidR="00EE56A7" w:rsidRPr="00730E8E" w:rsidRDefault="00EE56A7" w:rsidP="00730E8E">
      <w:pPr>
        <w:pStyle w:val="MRNoHead8"/>
        <w:numPr>
          <w:ilvl w:val="7"/>
          <w:numId w:val="61"/>
        </w:numPr>
        <w:tabs>
          <w:tab w:val="clear" w:pos="6120"/>
          <w:tab w:val="num" w:pos="2160"/>
        </w:tabs>
        <w:spacing w:after="200" w:line="240" w:lineRule="auto"/>
        <w:ind w:left="2160"/>
        <w:rPr>
          <w:rFonts w:cs="Arial"/>
          <w:szCs w:val="22"/>
        </w:rPr>
      </w:pPr>
      <w:r w:rsidRPr="00730E8E">
        <w:rPr>
          <w:rFonts w:cs="Arial"/>
          <w:szCs w:val="22"/>
        </w:rPr>
        <w:t xml:space="preserve">showing or not showing favour or disfavour to any person in relation to this Agreement or any other contract with THET and/or </w:t>
      </w:r>
      <w:r w:rsidR="00B76D2C" w:rsidRPr="00730E8E">
        <w:rPr>
          <w:rFonts w:cs="Arial"/>
          <w:szCs w:val="22"/>
        </w:rPr>
        <w:t>DHSC</w:t>
      </w:r>
      <w:r w:rsidRPr="00730E8E">
        <w:rPr>
          <w:rFonts w:cs="Arial"/>
          <w:szCs w:val="22"/>
        </w:rPr>
        <w:t xml:space="preserve">; </w:t>
      </w:r>
    </w:p>
    <w:p w14:paraId="1C08C856" w14:textId="56C12976" w:rsidR="00EE56A7" w:rsidRPr="00A343CA" w:rsidRDefault="00EE56A7" w:rsidP="00730E8E">
      <w:pPr>
        <w:pStyle w:val="MRNoHead7"/>
        <w:tabs>
          <w:tab w:val="clear" w:pos="5400"/>
          <w:tab w:val="num" w:pos="1440"/>
        </w:tabs>
        <w:spacing w:after="200" w:line="240" w:lineRule="auto"/>
        <w:ind w:left="1440"/>
        <w:rPr>
          <w:rFonts w:cs="Arial"/>
          <w:szCs w:val="22"/>
        </w:rPr>
      </w:pPr>
      <w:r w:rsidRPr="00730E8E">
        <w:rPr>
          <w:rFonts w:cs="Arial"/>
          <w:szCs w:val="22"/>
        </w:rPr>
        <w:t xml:space="preserve">entering into this Agreement or any other contract with THET and/or </w:t>
      </w:r>
      <w:r w:rsidR="00B76D2C" w:rsidRPr="00730E8E">
        <w:rPr>
          <w:rFonts w:cs="Arial"/>
          <w:szCs w:val="22"/>
        </w:rPr>
        <w:t>DHSC</w:t>
      </w:r>
      <w:r w:rsidRPr="00730E8E">
        <w:rPr>
          <w:rFonts w:cs="Arial"/>
          <w:szCs w:val="22"/>
        </w:rPr>
        <w:t xml:space="preserve"> where a commission has been paid or has been agreed to be paid by the </w:t>
      </w:r>
      <w:r w:rsidR="00632356" w:rsidRPr="00730E8E">
        <w:rPr>
          <w:rFonts w:cs="Arial"/>
          <w:szCs w:val="22"/>
        </w:rPr>
        <w:t>Lead Partner</w:t>
      </w:r>
      <w:r w:rsidRPr="00730E8E">
        <w:rPr>
          <w:rFonts w:cs="Arial"/>
          <w:szCs w:val="22"/>
        </w:rPr>
        <w:t xml:space="preserve"> or on its behalf, or to its knowledge, unless before the relevant </w:t>
      </w:r>
      <w:r w:rsidRPr="00A343CA">
        <w:rPr>
          <w:rFonts w:cs="Arial"/>
          <w:szCs w:val="22"/>
        </w:rPr>
        <w:t xml:space="preserve">contract is entered into particulars of any such commission and of the terms and conditions of any such contract for the payment thereof have been disclosed in writing to THET; </w:t>
      </w:r>
    </w:p>
    <w:p w14:paraId="17FA4790" w14:textId="77777777" w:rsidR="00EE56A7" w:rsidRPr="00730E8E" w:rsidRDefault="00EE56A7" w:rsidP="00730E8E">
      <w:pPr>
        <w:pStyle w:val="MRNoHead7"/>
        <w:tabs>
          <w:tab w:val="clear" w:pos="5400"/>
          <w:tab w:val="num" w:pos="1440"/>
        </w:tabs>
        <w:spacing w:after="200" w:line="240" w:lineRule="auto"/>
        <w:ind w:left="1440"/>
        <w:rPr>
          <w:rFonts w:cs="Arial"/>
          <w:szCs w:val="22"/>
        </w:rPr>
      </w:pPr>
      <w:r w:rsidRPr="00730E8E">
        <w:rPr>
          <w:rFonts w:cs="Arial"/>
          <w:szCs w:val="22"/>
        </w:rPr>
        <w:t xml:space="preserve">committing any offence: </w:t>
      </w:r>
    </w:p>
    <w:p w14:paraId="7FB21227" w14:textId="77777777" w:rsidR="006572EC" w:rsidRPr="00730E8E" w:rsidRDefault="00EE56A7" w:rsidP="00730E8E">
      <w:pPr>
        <w:pStyle w:val="MRNoHead8"/>
        <w:numPr>
          <w:ilvl w:val="7"/>
          <w:numId w:val="61"/>
        </w:numPr>
        <w:tabs>
          <w:tab w:val="clear" w:pos="6120"/>
          <w:tab w:val="num" w:pos="2160"/>
        </w:tabs>
        <w:spacing w:after="200" w:line="240" w:lineRule="auto"/>
        <w:ind w:left="2160"/>
        <w:rPr>
          <w:rFonts w:cs="Arial"/>
          <w:szCs w:val="22"/>
        </w:rPr>
      </w:pPr>
      <w:r w:rsidRPr="00730E8E">
        <w:rPr>
          <w:rFonts w:cs="Arial"/>
          <w:szCs w:val="22"/>
        </w:rPr>
        <w:t>under the Bribery Act;</w:t>
      </w:r>
    </w:p>
    <w:p w14:paraId="2A3E6A5D" w14:textId="4675489C" w:rsidR="006572EC" w:rsidRPr="00730E8E" w:rsidRDefault="006572EC" w:rsidP="00730E8E">
      <w:pPr>
        <w:pStyle w:val="MRNoHead8"/>
        <w:numPr>
          <w:ilvl w:val="7"/>
          <w:numId w:val="61"/>
        </w:numPr>
        <w:tabs>
          <w:tab w:val="clear" w:pos="6120"/>
          <w:tab w:val="num" w:pos="2160"/>
        </w:tabs>
        <w:spacing w:after="200" w:line="240" w:lineRule="auto"/>
        <w:ind w:left="2160"/>
        <w:rPr>
          <w:rFonts w:cs="Arial"/>
          <w:szCs w:val="22"/>
        </w:rPr>
      </w:pPr>
      <w:r w:rsidRPr="00730E8E">
        <w:rPr>
          <w:rFonts w:cs="Arial"/>
          <w:szCs w:val="22"/>
        </w:rPr>
        <w:t>under the Modern Slavery Act</w:t>
      </w:r>
    </w:p>
    <w:p w14:paraId="215A7271" w14:textId="7D13F1A6" w:rsidR="00EE56A7" w:rsidRPr="00730E8E" w:rsidRDefault="00EE56A7" w:rsidP="00730E8E">
      <w:pPr>
        <w:pStyle w:val="MRNoHead8"/>
        <w:numPr>
          <w:ilvl w:val="7"/>
          <w:numId w:val="61"/>
        </w:numPr>
        <w:tabs>
          <w:tab w:val="clear" w:pos="6120"/>
          <w:tab w:val="num" w:pos="2160"/>
        </w:tabs>
        <w:spacing w:after="200" w:line="240" w:lineRule="auto"/>
        <w:ind w:left="2160"/>
        <w:rPr>
          <w:rFonts w:cs="Arial"/>
          <w:szCs w:val="22"/>
        </w:rPr>
      </w:pPr>
      <w:r w:rsidRPr="00730E8E">
        <w:rPr>
          <w:rFonts w:cs="Arial"/>
          <w:szCs w:val="22"/>
        </w:rPr>
        <w:lastRenderedPageBreak/>
        <w:t>under legislation creating offences in respect of fraudulent acts</w:t>
      </w:r>
      <w:r w:rsidR="00681E40" w:rsidRPr="00730E8E">
        <w:rPr>
          <w:rFonts w:cs="Arial"/>
          <w:szCs w:val="22"/>
        </w:rPr>
        <w:t>, corruption, bribery, theft, terrorist financing and other misuse of funds</w:t>
      </w:r>
      <w:r w:rsidRPr="00730E8E">
        <w:rPr>
          <w:rFonts w:cs="Arial"/>
          <w:szCs w:val="22"/>
        </w:rPr>
        <w:t>; or</w:t>
      </w:r>
    </w:p>
    <w:p w14:paraId="25E52D32" w14:textId="371D7A36" w:rsidR="00EE56A7" w:rsidRPr="00730E8E" w:rsidRDefault="00EE56A7" w:rsidP="00730E8E">
      <w:pPr>
        <w:pStyle w:val="MRNoHead8"/>
        <w:numPr>
          <w:ilvl w:val="7"/>
          <w:numId w:val="61"/>
        </w:numPr>
        <w:tabs>
          <w:tab w:val="clear" w:pos="6120"/>
          <w:tab w:val="num" w:pos="2160"/>
        </w:tabs>
        <w:spacing w:after="200" w:line="240" w:lineRule="auto"/>
        <w:ind w:left="2160"/>
        <w:rPr>
          <w:rFonts w:cs="Arial"/>
          <w:szCs w:val="22"/>
        </w:rPr>
      </w:pPr>
      <w:r w:rsidRPr="00730E8E">
        <w:rPr>
          <w:rFonts w:cs="Arial"/>
          <w:szCs w:val="22"/>
        </w:rPr>
        <w:t xml:space="preserve">at common law in respect of fraudulent acts in relation to this Agreement or any other contract with THET and/or </w:t>
      </w:r>
      <w:r w:rsidR="00B76D2C" w:rsidRPr="00730E8E">
        <w:rPr>
          <w:rFonts w:cs="Arial"/>
          <w:szCs w:val="22"/>
        </w:rPr>
        <w:t>DHSC</w:t>
      </w:r>
      <w:r w:rsidRPr="00730E8E">
        <w:rPr>
          <w:rFonts w:cs="Arial"/>
          <w:szCs w:val="22"/>
        </w:rPr>
        <w:t xml:space="preserve">; </w:t>
      </w:r>
      <w:r w:rsidR="004522E7">
        <w:rPr>
          <w:rFonts w:cs="Arial"/>
          <w:szCs w:val="22"/>
        </w:rPr>
        <w:t>or</w:t>
      </w:r>
    </w:p>
    <w:p w14:paraId="6403B054" w14:textId="19DEAF2E" w:rsidR="00EE56A7" w:rsidRDefault="00EE56A7" w:rsidP="00730E8E">
      <w:pPr>
        <w:pStyle w:val="MRNoHead7"/>
        <w:tabs>
          <w:tab w:val="clear" w:pos="5400"/>
          <w:tab w:val="num" w:pos="1440"/>
        </w:tabs>
        <w:spacing w:after="200" w:line="240" w:lineRule="auto"/>
        <w:ind w:left="1440"/>
        <w:rPr>
          <w:rFonts w:cs="Arial"/>
          <w:szCs w:val="22"/>
        </w:rPr>
      </w:pPr>
      <w:r w:rsidRPr="00A343CA">
        <w:rPr>
          <w:rFonts w:cs="Arial"/>
          <w:szCs w:val="22"/>
        </w:rPr>
        <w:t xml:space="preserve">defrauding or attempting to defraud or conspiring to defraud THET and/or </w:t>
      </w:r>
      <w:r w:rsidR="00B76D2C" w:rsidRPr="00A343CA">
        <w:rPr>
          <w:rFonts w:cs="Arial"/>
          <w:szCs w:val="22"/>
        </w:rPr>
        <w:t>DHSC</w:t>
      </w:r>
      <w:r w:rsidR="001B7164">
        <w:rPr>
          <w:rFonts w:cs="Arial"/>
          <w:szCs w:val="22"/>
        </w:rPr>
        <w:t>;</w:t>
      </w:r>
    </w:p>
    <w:p w14:paraId="6348802A" w14:textId="00FF39C9" w:rsidR="001E21D0" w:rsidRDefault="001E21D0" w:rsidP="00730E8E">
      <w:pPr>
        <w:pStyle w:val="MRNoHead1"/>
        <w:numPr>
          <w:ilvl w:val="0"/>
          <w:numId w:val="0"/>
        </w:numPr>
        <w:spacing w:before="0" w:after="200" w:line="240" w:lineRule="auto"/>
        <w:ind w:left="709" w:firstLine="1"/>
      </w:pPr>
      <w:r>
        <w:rPr>
          <w:b/>
          <w:bCs/>
        </w:rPr>
        <w:t>“</w:t>
      </w:r>
      <w:r w:rsidRPr="00730E8E">
        <w:rPr>
          <w:b/>
          <w:bCs/>
        </w:rPr>
        <w:t>Representatives</w:t>
      </w:r>
      <w:r>
        <w:t>”</w:t>
      </w:r>
      <w:r w:rsidR="000833AC" w:rsidRPr="000833AC">
        <w:rPr>
          <w:rFonts w:cs="Arial"/>
          <w:bCs/>
        </w:rPr>
        <w:t xml:space="preserve"> </w:t>
      </w:r>
      <w:r w:rsidR="000833AC">
        <w:rPr>
          <w:rFonts w:cs="Arial"/>
          <w:bCs/>
        </w:rPr>
        <w:t>means</w:t>
      </w:r>
      <w:r w:rsidR="00B15EEC">
        <w:t xml:space="preserve"> </w:t>
      </w:r>
      <w:r w:rsidR="00011597" w:rsidRPr="00011597">
        <w:t>any of the Parties’ duly authorised directors, employees, officers, agents,</w:t>
      </w:r>
      <w:r w:rsidR="007B2045">
        <w:t xml:space="preserve"> </w:t>
      </w:r>
      <w:r w:rsidR="00011597" w:rsidRPr="00011597">
        <w:t>professional advisors and consultants;</w:t>
      </w:r>
    </w:p>
    <w:p w14:paraId="2DE1777B" w14:textId="2B498BA3" w:rsidR="00C05265" w:rsidRPr="00730E8E" w:rsidRDefault="00C05265" w:rsidP="00730E8E">
      <w:pPr>
        <w:pStyle w:val="MRNoHead1"/>
        <w:numPr>
          <w:ilvl w:val="0"/>
          <w:numId w:val="0"/>
        </w:numPr>
        <w:spacing w:before="0" w:after="200" w:line="240" w:lineRule="auto"/>
        <w:ind w:left="709" w:firstLine="1"/>
      </w:pPr>
      <w:r>
        <w:rPr>
          <w:b/>
          <w:bCs/>
        </w:rPr>
        <w:t>“UK GDPR”</w:t>
      </w:r>
      <w:r w:rsidR="000833AC" w:rsidRPr="000833AC">
        <w:rPr>
          <w:rFonts w:cs="Arial"/>
          <w:bCs/>
        </w:rPr>
        <w:t xml:space="preserve"> </w:t>
      </w:r>
      <w:r w:rsidR="000833AC">
        <w:rPr>
          <w:rFonts w:cs="Arial"/>
          <w:bCs/>
        </w:rPr>
        <w:t>means the</w:t>
      </w:r>
      <w:r>
        <w:rPr>
          <w:b/>
          <w:bCs/>
        </w:rPr>
        <w:t xml:space="preserve"> </w:t>
      </w:r>
      <w:r w:rsidR="00424BFC" w:rsidRPr="00D67AEC">
        <w:t>General Data Protection Regulation (EU) 2016/</w:t>
      </w:r>
      <w:r w:rsidR="003317B3" w:rsidRPr="00D67AEC">
        <w:t>679;</w:t>
      </w:r>
      <w:r w:rsidR="003317B3">
        <w:t xml:space="preserve"> as</w:t>
      </w:r>
      <w:r w:rsidR="00957BF1">
        <w:t xml:space="preserve"> </w:t>
      </w:r>
      <w:r w:rsidR="005A015E">
        <w:t>it forms part of retained law</w:t>
      </w:r>
      <w:r w:rsidR="00960D59">
        <w:t xml:space="preserve">, as </w:t>
      </w:r>
      <w:r w:rsidR="00F12FC8">
        <w:t>defined</w:t>
      </w:r>
      <w:r w:rsidR="00960D59">
        <w:t xml:space="preserve"> in the European Union (Withdrawal) Act</w:t>
      </w:r>
      <w:r w:rsidR="00B6410D">
        <w:t xml:space="preserve"> 2018</w:t>
      </w:r>
      <w:r w:rsidR="000833AC">
        <w:t>;</w:t>
      </w:r>
      <w:r w:rsidR="00E42B5A">
        <w:t xml:space="preserve"> and</w:t>
      </w:r>
    </w:p>
    <w:p w14:paraId="2682B57B" w14:textId="54314C1D" w:rsidR="00C05265" w:rsidRPr="00A16B05" w:rsidRDefault="00C05265" w:rsidP="00730E8E">
      <w:pPr>
        <w:pStyle w:val="MRNoHead1"/>
        <w:numPr>
          <w:ilvl w:val="0"/>
          <w:numId w:val="0"/>
        </w:numPr>
        <w:spacing w:before="0" w:after="200" w:line="240" w:lineRule="auto"/>
        <w:ind w:left="709" w:hanging="12"/>
      </w:pPr>
      <w:r>
        <w:t>"</w:t>
      </w:r>
      <w:r>
        <w:rPr>
          <w:b/>
          <w:bCs/>
        </w:rPr>
        <w:t>Working Day”</w:t>
      </w:r>
      <w:r w:rsidR="000833AC" w:rsidRPr="000833AC">
        <w:rPr>
          <w:rFonts w:cs="Arial"/>
          <w:bCs/>
        </w:rPr>
        <w:t xml:space="preserve"> </w:t>
      </w:r>
      <w:r w:rsidR="000833AC">
        <w:rPr>
          <w:rFonts w:cs="Arial"/>
          <w:bCs/>
        </w:rPr>
        <w:t>means</w:t>
      </w:r>
      <w:r>
        <w:t xml:space="preserve"> </w:t>
      </w:r>
      <w:r w:rsidR="00A16B05" w:rsidRPr="00A16B05">
        <w:t>any day from Monday to Friday (inclusive) which is not Christmas Day, Good Friday or a statutory bank holiday in England.</w:t>
      </w:r>
    </w:p>
    <w:p w14:paraId="7F095F86" w14:textId="762ADA51" w:rsidR="00DA5ABE" w:rsidRPr="00730E8E" w:rsidRDefault="00DA5ABE">
      <w:pPr>
        <w:pStyle w:val="MRheading1"/>
        <w:numPr>
          <w:ilvl w:val="0"/>
          <w:numId w:val="7"/>
        </w:numPr>
        <w:spacing w:line="240" w:lineRule="auto"/>
        <w:rPr>
          <w:rFonts w:cs="Arial"/>
        </w:rPr>
      </w:pPr>
      <w:r w:rsidRPr="00730E8E">
        <w:rPr>
          <w:rFonts w:cs="Arial"/>
        </w:rPr>
        <w:t>Interpretation</w:t>
      </w:r>
    </w:p>
    <w:p w14:paraId="2F18C4E4" w14:textId="77777777" w:rsidR="00DA5ABE" w:rsidRPr="00730E8E" w:rsidRDefault="00DA5ABE">
      <w:pPr>
        <w:pStyle w:val="MRheading2"/>
        <w:numPr>
          <w:ilvl w:val="1"/>
          <w:numId w:val="7"/>
        </w:numPr>
        <w:spacing w:line="240" w:lineRule="auto"/>
        <w:rPr>
          <w:rFonts w:cs="Arial"/>
        </w:rPr>
      </w:pPr>
      <w:r w:rsidRPr="00730E8E">
        <w:rPr>
          <w:rFonts w:cs="Arial"/>
        </w:rPr>
        <w:t>In this Agreement, unless the context otherwise requires:</w:t>
      </w:r>
    </w:p>
    <w:p w14:paraId="71F94C52" w14:textId="77777777" w:rsidR="00DA5ABE" w:rsidRPr="006D076A" w:rsidRDefault="00DA5ABE">
      <w:pPr>
        <w:pStyle w:val="MRheading3"/>
        <w:numPr>
          <w:ilvl w:val="2"/>
          <w:numId w:val="7"/>
        </w:numPr>
        <w:spacing w:line="240" w:lineRule="auto"/>
        <w:rPr>
          <w:rFonts w:cs="Arial"/>
          <w:szCs w:val="22"/>
        </w:rPr>
      </w:pPr>
      <w:r w:rsidRPr="006D076A">
        <w:rPr>
          <w:rFonts w:cs="Arial"/>
          <w:szCs w:val="22"/>
        </w:rPr>
        <w:t xml:space="preserve">the singular includes the plural and vice versa; </w:t>
      </w:r>
    </w:p>
    <w:p w14:paraId="702B48CC" w14:textId="77777777" w:rsidR="00DA5ABE" w:rsidRPr="006D076A" w:rsidRDefault="00DA5ABE">
      <w:pPr>
        <w:pStyle w:val="MRheading3"/>
        <w:numPr>
          <w:ilvl w:val="2"/>
          <w:numId w:val="7"/>
        </w:numPr>
        <w:spacing w:line="240" w:lineRule="auto"/>
        <w:rPr>
          <w:rFonts w:cs="Arial"/>
          <w:szCs w:val="22"/>
        </w:rPr>
      </w:pPr>
      <w:r w:rsidRPr="006D076A">
        <w:rPr>
          <w:rFonts w:cs="Arial"/>
          <w:szCs w:val="22"/>
        </w:rPr>
        <w:t>reference to a gender includes the other gender and the neuter;</w:t>
      </w:r>
    </w:p>
    <w:p w14:paraId="308E374B" w14:textId="0D1A0827" w:rsidR="00DA5ABE" w:rsidRPr="006D076A" w:rsidRDefault="00DA5ABE">
      <w:pPr>
        <w:pStyle w:val="MRheading3"/>
        <w:numPr>
          <w:ilvl w:val="2"/>
          <w:numId w:val="7"/>
        </w:numPr>
        <w:spacing w:line="240" w:lineRule="auto"/>
        <w:rPr>
          <w:rFonts w:cs="Arial"/>
          <w:szCs w:val="22"/>
        </w:rPr>
      </w:pPr>
      <w:r w:rsidRPr="006D076A">
        <w:rPr>
          <w:rFonts w:cs="Arial"/>
          <w:szCs w:val="22"/>
        </w:rPr>
        <w:t>references to a person include an individual, company, body corporate, corporation, unincorporated association, firm, partnership or other legal entity or Crown Body</w:t>
      </w:r>
      <w:r w:rsidR="00F570EF">
        <w:rPr>
          <w:rFonts w:cs="Arial"/>
          <w:szCs w:val="22"/>
        </w:rPr>
        <w:t xml:space="preserve"> and its permitted successors and assigns</w:t>
      </w:r>
      <w:r w:rsidRPr="006D076A">
        <w:rPr>
          <w:rFonts w:cs="Arial"/>
          <w:szCs w:val="22"/>
        </w:rPr>
        <w:t>;</w:t>
      </w:r>
    </w:p>
    <w:p w14:paraId="2E563DF7" w14:textId="7EE1FBB3" w:rsidR="00DA5ABE" w:rsidRPr="006D076A" w:rsidRDefault="00DA5ABE">
      <w:pPr>
        <w:pStyle w:val="MRheading3"/>
        <w:numPr>
          <w:ilvl w:val="2"/>
          <w:numId w:val="7"/>
        </w:numPr>
        <w:spacing w:line="240" w:lineRule="auto"/>
        <w:rPr>
          <w:rFonts w:cs="Arial"/>
          <w:szCs w:val="22"/>
        </w:rPr>
      </w:pPr>
      <w:r w:rsidRPr="006D076A">
        <w:rPr>
          <w:rFonts w:cs="Arial"/>
          <w:szCs w:val="22"/>
        </w:rPr>
        <w:t xml:space="preserve">a reference to any </w:t>
      </w:r>
      <w:r w:rsidR="00985E22">
        <w:rPr>
          <w:rFonts w:cs="Arial"/>
          <w:szCs w:val="22"/>
        </w:rPr>
        <w:t>l</w:t>
      </w:r>
      <w:r w:rsidRPr="006D076A">
        <w:rPr>
          <w:rFonts w:cs="Arial"/>
          <w:szCs w:val="22"/>
        </w:rPr>
        <w:t xml:space="preserve">aw includes a reference to that </w:t>
      </w:r>
      <w:r w:rsidR="00985E22">
        <w:rPr>
          <w:rFonts w:cs="Arial"/>
          <w:szCs w:val="22"/>
        </w:rPr>
        <w:t>l</w:t>
      </w:r>
      <w:r w:rsidRPr="006D076A">
        <w:rPr>
          <w:rFonts w:cs="Arial"/>
          <w:szCs w:val="22"/>
        </w:rPr>
        <w:t>aw as amended, extended, consolidated or re-enacted from time to time;</w:t>
      </w:r>
    </w:p>
    <w:p w14:paraId="7268453C" w14:textId="77777777" w:rsidR="00DA5ABE" w:rsidRPr="006D076A" w:rsidRDefault="00DA5ABE">
      <w:pPr>
        <w:pStyle w:val="MRheading3"/>
        <w:numPr>
          <w:ilvl w:val="2"/>
          <w:numId w:val="7"/>
        </w:numPr>
        <w:spacing w:line="240" w:lineRule="auto"/>
        <w:rPr>
          <w:rFonts w:cs="Arial"/>
          <w:szCs w:val="22"/>
        </w:rPr>
      </w:pPr>
      <w:r w:rsidRPr="006D076A">
        <w:rPr>
          <w:rFonts w:cs="Arial"/>
          <w:szCs w:val="22"/>
        </w:rPr>
        <w:t>the words "including", "other", "in particular", "for example" and similar words will not limit the generality of the preceding words and will be construed as if they were immediately followed by the words "without limitation";</w:t>
      </w:r>
    </w:p>
    <w:p w14:paraId="7E1A755A" w14:textId="77777777" w:rsidR="00DA5ABE" w:rsidRPr="006D076A" w:rsidRDefault="00DA5ABE">
      <w:pPr>
        <w:pStyle w:val="MRheading3"/>
        <w:numPr>
          <w:ilvl w:val="2"/>
          <w:numId w:val="7"/>
        </w:numPr>
        <w:spacing w:line="240" w:lineRule="auto"/>
        <w:rPr>
          <w:rFonts w:cs="Arial"/>
          <w:szCs w:val="22"/>
        </w:rPr>
      </w:pPr>
      <w:r w:rsidRPr="006D076A">
        <w:rPr>
          <w:rFonts w:cs="Arial"/>
          <w:szCs w:val="22"/>
        </w:rPr>
        <w:t>references to “writing” include typing, printing, lithography, photography, display on a screen, electronic and facsimile transmission and other modes of representing or reproducing words in a visible form, and expressions referring to writing will be construed accordingly;</w:t>
      </w:r>
    </w:p>
    <w:p w14:paraId="7CF72112" w14:textId="72C00BE9" w:rsidR="00DA5ABE" w:rsidRPr="006D076A" w:rsidRDefault="00DA5ABE">
      <w:pPr>
        <w:pStyle w:val="MRheading3"/>
        <w:numPr>
          <w:ilvl w:val="2"/>
          <w:numId w:val="7"/>
        </w:numPr>
        <w:spacing w:line="240" w:lineRule="auto"/>
        <w:rPr>
          <w:rFonts w:cs="Arial"/>
          <w:szCs w:val="22"/>
        </w:rPr>
      </w:pPr>
      <w:r w:rsidRPr="006D076A">
        <w:rPr>
          <w:rFonts w:cs="Arial"/>
          <w:szCs w:val="22"/>
        </w:rPr>
        <w:t xml:space="preserve">references to “paragraphs” and “Annexes” are, unless otherwise provided, references to the paragraphs and annexes of this Agreement and references in any Annex to parts, paragraphs and tables are, unless otherwise provided, references to the parts, paragraphs and tables of the Annex in which these references appear; </w:t>
      </w:r>
    </w:p>
    <w:p w14:paraId="74054553" w14:textId="4C95D88A" w:rsidR="00DA5ABE" w:rsidRDefault="00DA5ABE">
      <w:pPr>
        <w:pStyle w:val="MRheading3"/>
        <w:numPr>
          <w:ilvl w:val="2"/>
          <w:numId w:val="7"/>
        </w:numPr>
        <w:spacing w:line="240" w:lineRule="auto"/>
        <w:rPr>
          <w:rFonts w:cs="Arial"/>
          <w:szCs w:val="22"/>
        </w:rPr>
      </w:pPr>
      <w:r w:rsidRPr="006D076A">
        <w:rPr>
          <w:rFonts w:cs="Arial"/>
          <w:szCs w:val="22"/>
        </w:rPr>
        <w:t>the headings in this Agreement are for ease of reference only and will not affect the interpretation or construction of this Agreement</w:t>
      </w:r>
      <w:r w:rsidR="005F2E56">
        <w:rPr>
          <w:rFonts w:cs="Arial"/>
          <w:szCs w:val="22"/>
        </w:rPr>
        <w:t>; and</w:t>
      </w:r>
    </w:p>
    <w:p w14:paraId="75CF1E3A" w14:textId="45194D7C" w:rsidR="005F2E56" w:rsidRPr="00730E8E" w:rsidRDefault="005F2E56" w:rsidP="00730E8E">
      <w:pPr>
        <w:pStyle w:val="MRheading3"/>
        <w:numPr>
          <w:ilvl w:val="2"/>
          <w:numId w:val="7"/>
        </w:numPr>
        <w:rPr>
          <w:rFonts w:cs="Arial"/>
          <w:szCs w:val="22"/>
        </w:rPr>
      </w:pPr>
      <w:r w:rsidRPr="005F2E56">
        <w:rPr>
          <w:rFonts w:cs="Arial"/>
          <w:szCs w:val="22"/>
        </w:rPr>
        <w:t>“sterling” and “£” denote the lawful currency of the United Kingdom.</w:t>
      </w:r>
    </w:p>
    <w:p w14:paraId="4AAD8AA5" w14:textId="77777777" w:rsidR="00EE56A7" w:rsidRPr="006D076A" w:rsidRDefault="00EE56A7" w:rsidP="00730E8E">
      <w:pPr>
        <w:spacing w:line="240" w:lineRule="auto"/>
        <w:ind w:left="720"/>
        <w:rPr>
          <w:rFonts w:ascii="Arial" w:hAnsi="Arial" w:cs="Arial"/>
        </w:rPr>
      </w:pPr>
    </w:p>
    <w:p w14:paraId="7EACA6CB" w14:textId="77777777" w:rsidR="00EE56A7" w:rsidRDefault="00EE56A7" w:rsidP="00730E8E">
      <w:pPr>
        <w:widowControl w:val="0"/>
        <w:autoSpaceDE w:val="0"/>
        <w:autoSpaceDN w:val="0"/>
        <w:adjustRightInd w:val="0"/>
        <w:spacing w:before="120" w:after="120" w:line="240" w:lineRule="auto"/>
        <w:jc w:val="center"/>
        <w:rPr>
          <w:rFonts w:ascii="Arial" w:hAnsi="Arial" w:cs="Arial"/>
          <w:b/>
        </w:rPr>
      </w:pPr>
      <w:r>
        <w:rPr>
          <w:rFonts w:ascii="Arial" w:hAnsi="Arial" w:cs="Arial"/>
          <w:b/>
        </w:rPr>
        <w:t>END OF DEFINITIONS</w:t>
      </w:r>
    </w:p>
    <w:p w14:paraId="4087A532" w14:textId="77777777" w:rsidR="00EE56A7" w:rsidRDefault="00EE56A7" w:rsidP="00730E8E">
      <w:pPr>
        <w:widowControl w:val="0"/>
        <w:autoSpaceDE w:val="0"/>
        <w:autoSpaceDN w:val="0"/>
        <w:adjustRightInd w:val="0"/>
        <w:spacing w:before="120" w:after="120" w:line="240" w:lineRule="auto"/>
        <w:jc w:val="center"/>
        <w:rPr>
          <w:rFonts w:ascii="Arial" w:hAnsi="Arial" w:cs="Arial"/>
          <w:b/>
        </w:rPr>
      </w:pPr>
      <w:r>
        <w:rPr>
          <w:rFonts w:ascii="Arial" w:hAnsi="Arial" w:cs="Arial"/>
          <w:b/>
        </w:rPr>
        <w:br w:type="page"/>
      </w:r>
      <w:r>
        <w:rPr>
          <w:rFonts w:ascii="Arial" w:hAnsi="Arial" w:cs="Arial"/>
          <w:b/>
        </w:rPr>
        <w:lastRenderedPageBreak/>
        <w:t>Annex 1:</w:t>
      </w:r>
    </w:p>
    <w:p w14:paraId="2ED934EC" w14:textId="77777777" w:rsidR="00EE56A7" w:rsidRDefault="00EE56A7" w:rsidP="00730E8E">
      <w:pPr>
        <w:widowControl w:val="0"/>
        <w:autoSpaceDE w:val="0"/>
        <w:autoSpaceDN w:val="0"/>
        <w:adjustRightInd w:val="0"/>
        <w:spacing w:before="120" w:after="120" w:line="240" w:lineRule="auto"/>
        <w:jc w:val="center"/>
        <w:rPr>
          <w:rFonts w:ascii="Arial" w:hAnsi="Arial" w:cs="Arial"/>
          <w:b/>
        </w:rPr>
      </w:pPr>
      <w:r>
        <w:rPr>
          <w:rFonts w:ascii="Arial" w:hAnsi="Arial" w:cs="Arial"/>
          <w:b/>
        </w:rPr>
        <w:t>International Development Act 2002</w:t>
      </w:r>
    </w:p>
    <w:p w14:paraId="5DD01FB1" w14:textId="77777777" w:rsidR="00EE56A7" w:rsidRDefault="00EE56A7" w:rsidP="00730E8E">
      <w:pPr>
        <w:widowControl w:val="0"/>
        <w:autoSpaceDE w:val="0"/>
        <w:autoSpaceDN w:val="0"/>
        <w:adjustRightInd w:val="0"/>
        <w:spacing w:before="120" w:after="120" w:line="240" w:lineRule="auto"/>
        <w:jc w:val="center"/>
        <w:rPr>
          <w:rFonts w:ascii="Arial" w:hAnsi="Arial" w:cs="Arial"/>
          <w:b/>
        </w:rPr>
      </w:pPr>
      <w:r>
        <w:rPr>
          <w:rFonts w:ascii="Arial" w:hAnsi="Arial" w:cs="Arial"/>
          <w:b/>
        </w:rPr>
        <w:t>Summary of Terms</w:t>
      </w:r>
    </w:p>
    <w:p w14:paraId="145CC0F7" w14:textId="77777777" w:rsidR="00EE56A7" w:rsidRDefault="00EE56A7" w:rsidP="00730E8E">
      <w:pPr>
        <w:widowControl w:val="0"/>
        <w:autoSpaceDE w:val="0"/>
        <w:autoSpaceDN w:val="0"/>
        <w:adjustRightInd w:val="0"/>
        <w:spacing w:before="120" w:after="120" w:line="240" w:lineRule="auto"/>
        <w:rPr>
          <w:rFonts w:ascii="Arial" w:hAnsi="Arial" w:cs="Arial"/>
        </w:rPr>
      </w:pPr>
    </w:p>
    <w:p w14:paraId="45637A47" w14:textId="77777777" w:rsidR="00EE56A7" w:rsidRPr="004761BF" w:rsidRDefault="00EE56A7" w:rsidP="00730E8E">
      <w:pPr>
        <w:spacing w:line="240" w:lineRule="auto"/>
        <w:jc w:val="center"/>
        <w:rPr>
          <w:rFonts w:ascii="Arial" w:hAnsi="Arial" w:cs="Arial"/>
          <w:b/>
        </w:rPr>
      </w:pPr>
      <w:r w:rsidRPr="004761BF">
        <w:rPr>
          <w:rFonts w:ascii="Arial" w:hAnsi="Arial" w:cs="Arial"/>
          <w:b/>
        </w:rPr>
        <w:t>THE TROPICAL HEALTH AND EDUCATION TRUST</w:t>
      </w:r>
    </w:p>
    <w:p w14:paraId="1456D8A0" w14:textId="77777777" w:rsidR="00EE56A7" w:rsidRPr="004761BF" w:rsidRDefault="00EE56A7" w:rsidP="00730E8E">
      <w:pPr>
        <w:spacing w:line="240" w:lineRule="auto"/>
        <w:jc w:val="center"/>
        <w:rPr>
          <w:rFonts w:ascii="Arial" w:hAnsi="Arial" w:cs="Arial"/>
          <w:b/>
        </w:rPr>
      </w:pPr>
      <w:r w:rsidRPr="004761BF">
        <w:rPr>
          <w:rFonts w:ascii="Arial" w:hAnsi="Arial" w:cs="Arial"/>
          <w:b/>
        </w:rPr>
        <w:t>THE INTERNATIONAL DEVELOPMENT ACT 2002</w:t>
      </w:r>
    </w:p>
    <w:p w14:paraId="62C13C01" w14:textId="77777777" w:rsidR="00EE56A7" w:rsidRPr="004761BF" w:rsidRDefault="00EE56A7" w:rsidP="00730E8E">
      <w:pPr>
        <w:spacing w:line="240" w:lineRule="auto"/>
        <w:jc w:val="center"/>
        <w:rPr>
          <w:rFonts w:ascii="Arial" w:hAnsi="Arial" w:cs="Arial"/>
          <w:b/>
        </w:rPr>
      </w:pPr>
    </w:p>
    <w:p w14:paraId="2A27CFF3" w14:textId="77777777" w:rsidR="00EE56A7" w:rsidRPr="004761BF" w:rsidRDefault="00EE56A7" w:rsidP="00730E8E">
      <w:pPr>
        <w:spacing w:line="240" w:lineRule="auto"/>
        <w:jc w:val="both"/>
        <w:rPr>
          <w:rFonts w:ascii="Arial" w:hAnsi="Arial" w:cs="Arial"/>
          <w:b/>
        </w:rPr>
      </w:pPr>
      <w:r w:rsidRPr="004761BF">
        <w:rPr>
          <w:rFonts w:ascii="Arial" w:hAnsi="Arial" w:cs="Arial"/>
          <w:b/>
        </w:rPr>
        <w:t>1</w:t>
      </w:r>
      <w:r w:rsidRPr="004761BF">
        <w:rPr>
          <w:rFonts w:ascii="Arial" w:hAnsi="Arial" w:cs="Arial"/>
          <w:b/>
        </w:rPr>
        <w:tab/>
        <w:t>BACKGROUND:</w:t>
      </w:r>
    </w:p>
    <w:p w14:paraId="54617218" w14:textId="77777777" w:rsidR="00EE56A7" w:rsidRPr="004761BF" w:rsidRDefault="00EE56A7" w:rsidP="00730E8E">
      <w:pPr>
        <w:spacing w:line="240" w:lineRule="auto"/>
        <w:ind w:left="720" w:hanging="720"/>
        <w:jc w:val="both"/>
        <w:rPr>
          <w:rFonts w:ascii="Arial" w:hAnsi="Arial" w:cs="Arial"/>
        </w:rPr>
      </w:pPr>
      <w:r w:rsidRPr="004761BF">
        <w:rPr>
          <w:rFonts w:ascii="Arial" w:hAnsi="Arial" w:cs="Arial"/>
        </w:rPr>
        <w:t>1.1</w:t>
      </w:r>
      <w:r w:rsidRPr="004761BF">
        <w:rPr>
          <w:rFonts w:ascii="Arial" w:hAnsi="Arial" w:cs="Arial"/>
        </w:rPr>
        <w:tab/>
        <w:t>Section 9 of the International Development Act 2002 (IDA) confers on certain public bodies (listed in Schedule 1 of the Act) the right to engage in overseas development activities. Specifically, the Act says that they may;</w:t>
      </w:r>
    </w:p>
    <w:p w14:paraId="3962F43C" w14:textId="112DB11F" w:rsidR="00EE56A7" w:rsidRPr="004761BF" w:rsidRDefault="00EE56A7" w:rsidP="00730E8E">
      <w:pPr>
        <w:spacing w:line="240" w:lineRule="auto"/>
        <w:ind w:left="720" w:firstLine="720"/>
        <w:jc w:val="both"/>
        <w:rPr>
          <w:rFonts w:ascii="Arial" w:hAnsi="Arial" w:cs="Arial"/>
          <w:i/>
        </w:rPr>
      </w:pPr>
      <w:r w:rsidRPr="004761BF">
        <w:rPr>
          <w:rFonts w:ascii="Arial" w:hAnsi="Arial" w:cs="Arial"/>
          <w:i/>
        </w:rPr>
        <w:t>“</w:t>
      </w:r>
      <w:r w:rsidR="003317B3" w:rsidRPr="004761BF">
        <w:rPr>
          <w:rFonts w:ascii="Arial" w:hAnsi="Arial" w:cs="Arial"/>
          <w:i/>
        </w:rPr>
        <w:t>Enter</w:t>
      </w:r>
      <w:r w:rsidRPr="004761BF">
        <w:rPr>
          <w:rFonts w:ascii="Arial" w:hAnsi="Arial" w:cs="Arial"/>
          <w:i/>
        </w:rPr>
        <w:t xml:space="preserve"> into and carry out agreements for the purpose of—</w:t>
      </w:r>
    </w:p>
    <w:p w14:paraId="244082C2" w14:textId="77777777" w:rsidR="00EE56A7" w:rsidRPr="004761BF" w:rsidRDefault="00EE56A7" w:rsidP="00730E8E">
      <w:pPr>
        <w:pStyle w:val="ListParagraph"/>
        <w:numPr>
          <w:ilvl w:val="0"/>
          <w:numId w:val="10"/>
        </w:numPr>
        <w:contextualSpacing/>
        <w:jc w:val="both"/>
        <w:rPr>
          <w:rFonts w:ascii="Arial" w:hAnsi="Arial" w:cs="Arial"/>
          <w:i/>
        </w:rPr>
      </w:pPr>
      <w:r w:rsidRPr="004761BF">
        <w:rPr>
          <w:rFonts w:ascii="Arial" w:hAnsi="Arial" w:cs="Arial"/>
          <w:i/>
        </w:rPr>
        <w:t>furthering sustainable development in one or more countries outside the United Kingdom,</w:t>
      </w:r>
    </w:p>
    <w:p w14:paraId="59E50199" w14:textId="77777777" w:rsidR="00EE56A7" w:rsidRPr="004761BF" w:rsidRDefault="00EE56A7" w:rsidP="00730E8E">
      <w:pPr>
        <w:pStyle w:val="ListParagraph"/>
        <w:numPr>
          <w:ilvl w:val="0"/>
          <w:numId w:val="10"/>
        </w:numPr>
        <w:contextualSpacing/>
        <w:jc w:val="both"/>
        <w:rPr>
          <w:rFonts w:ascii="Arial" w:hAnsi="Arial" w:cs="Arial"/>
          <w:i/>
        </w:rPr>
      </w:pPr>
      <w:r w:rsidRPr="004761BF">
        <w:rPr>
          <w:rFonts w:ascii="Arial" w:hAnsi="Arial" w:cs="Arial"/>
          <w:i/>
        </w:rPr>
        <w:t>improving the welfare of the population of one or more such countries, or</w:t>
      </w:r>
    </w:p>
    <w:p w14:paraId="417B4278" w14:textId="61D4D99F" w:rsidR="00EE56A7" w:rsidRPr="004761BF" w:rsidRDefault="00EE56A7" w:rsidP="00730E8E">
      <w:pPr>
        <w:pStyle w:val="ListParagraph"/>
        <w:numPr>
          <w:ilvl w:val="0"/>
          <w:numId w:val="10"/>
        </w:numPr>
        <w:contextualSpacing/>
        <w:jc w:val="both"/>
        <w:rPr>
          <w:rFonts w:ascii="Arial" w:hAnsi="Arial" w:cs="Arial"/>
          <w:i/>
        </w:rPr>
      </w:pPr>
      <w:r w:rsidRPr="004761BF">
        <w:rPr>
          <w:rFonts w:ascii="Arial" w:hAnsi="Arial" w:cs="Arial"/>
          <w:i/>
        </w:rPr>
        <w:t>alleviating the effects of a natural or man-made disaster or other emergency on the population of one or more such countries.</w:t>
      </w:r>
      <w:r w:rsidR="00363DFC">
        <w:rPr>
          <w:rFonts w:ascii="Arial" w:hAnsi="Arial" w:cs="Arial"/>
          <w:i/>
        </w:rPr>
        <w:t>”</w:t>
      </w:r>
    </w:p>
    <w:p w14:paraId="30B1C10C" w14:textId="77777777" w:rsidR="00EE56A7" w:rsidRPr="004761BF" w:rsidRDefault="00EE56A7" w:rsidP="00730E8E">
      <w:pPr>
        <w:spacing w:line="240" w:lineRule="auto"/>
        <w:ind w:left="720"/>
        <w:jc w:val="both"/>
        <w:rPr>
          <w:rFonts w:ascii="Arial" w:hAnsi="Arial" w:cs="Arial"/>
        </w:rPr>
      </w:pPr>
    </w:p>
    <w:p w14:paraId="2E47BFD4" w14:textId="5C89A3F3" w:rsidR="00EE56A7" w:rsidRPr="004761BF" w:rsidRDefault="00EE56A7" w:rsidP="00730E8E">
      <w:pPr>
        <w:spacing w:line="240" w:lineRule="auto"/>
        <w:ind w:left="720" w:hanging="720"/>
        <w:jc w:val="both"/>
        <w:rPr>
          <w:rFonts w:ascii="Arial" w:hAnsi="Arial" w:cs="Arial"/>
        </w:rPr>
      </w:pPr>
      <w:r w:rsidRPr="486AD6F0">
        <w:rPr>
          <w:rFonts w:ascii="Arial" w:hAnsi="Arial" w:cs="Arial"/>
        </w:rPr>
        <w:t>1.2</w:t>
      </w:r>
      <w:r>
        <w:tab/>
      </w:r>
      <w:r w:rsidRPr="486AD6F0">
        <w:rPr>
          <w:rFonts w:ascii="Arial" w:hAnsi="Arial" w:cs="Arial"/>
        </w:rPr>
        <w:t>The Act requires those public bodies to obtain the authorisation of the Secretary of State</w:t>
      </w:r>
      <w:r w:rsidR="008F53A9" w:rsidRPr="486AD6F0">
        <w:rPr>
          <w:rFonts w:ascii="Arial" w:hAnsi="Arial" w:cs="Arial"/>
        </w:rPr>
        <w:t xml:space="preserve"> </w:t>
      </w:r>
      <w:r w:rsidRPr="486AD6F0">
        <w:rPr>
          <w:rFonts w:ascii="Arial" w:hAnsi="Arial" w:cs="Arial"/>
        </w:rPr>
        <w:t>when they engage in an agreement to carry out overseas development activity.</w:t>
      </w:r>
    </w:p>
    <w:p w14:paraId="1196F306" w14:textId="77777777" w:rsidR="00EE56A7" w:rsidRPr="004761BF" w:rsidRDefault="00EE56A7" w:rsidP="00730E8E">
      <w:pPr>
        <w:spacing w:line="240" w:lineRule="auto"/>
        <w:ind w:left="720"/>
        <w:jc w:val="both"/>
        <w:rPr>
          <w:rFonts w:ascii="Arial" w:hAnsi="Arial" w:cs="Arial"/>
        </w:rPr>
      </w:pPr>
      <w:r w:rsidRPr="004761BF">
        <w:rPr>
          <w:rFonts w:ascii="Arial" w:hAnsi="Arial" w:cs="Arial"/>
        </w:rPr>
        <w:t>The Act also makes it clear that financial assistance for overseas development activities may not be given by those public bodies from Treasury funds.</w:t>
      </w:r>
    </w:p>
    <w:p w14:paraId="68F0ACD5" w14:textId="2E465AE5" w:rsidR="00EE56A7" w:rsidRDefault="00EE56A7" w:rsidP="00730E8E">
      <w:pPr>
        <w:spacing w:line="240" w:lineRule="auto"/>
        <w:ind w:left="720"/>
        <w:jc w:val="both"/>
        <w:rPr>
          <w:rFonts w:ascii="Arial" w:hAnsi="Arial" w:cs="Arial"/>
        </w:rPr>
      </w:pPr>
      <w:r w:rsidRPr="004761BF">
        <w:rPr>
          <w:rFonts w:ascii="Arial" w:hAnsi="Arial" w:cs="Arial"/>
        </w:rPr>
        <w:t xml:space="preserve">The </w:t>
      </w:r>
      <w:r w:rsidR="001C2060">
        <w:rPr>
          <w:rFonts w:ascii="Arial" w:hAnsi="Arial" w:cs="Arial"/>
        </w:rPr>
        <w:t xml:space="preserve">list of relevant public bodies is set out in </w:t>
      </w:r>
      <w:r w:rsidRPr="004761BF">
        <w:rPr>
          <w:rFonts w:ascii="Arial" w:hAnsi="Arial" w:cs="Arial"/>
        </w:rPr>
        <w:t>Sched</w:t>
      </w:r>
      <w:r>
        <w:rPr>
          <w:rFonts w:ascii="Arial" w:hAnsi="Arial" w:cs="Arial"/>
        </w:rPr>
        <w:t>ule 1 to the Act</w:t>
      </w:r>
      <w:r w:rsidR="001C2060">
        <w:rPr>
          <w:rFonts w:ascii="Arial" w:hAnsi="Arial" w:cs="Arial"/>
        </w:rPr>
        <w:t xml:space="preserve">, which has been amended from time to time </w:t>
      </w:r>
      <w:r w:rsidRPr="004761BF">
        <w:rPr>
          <w:rFonts w:ascii="Arial" w:hAnsi="Arial" w:cs="Arial"/>
        </w:rPr>
        <w:t>by subsequent legislation and Statutory Instruments, and</w:t>
      </w:r>
      <w:r>
        <w:rPr>
          <w:rFonts w:ascii="Arial" w:hAnsi="Arial" w:cs="Arial"/>
        </w:rPr>
        <w:t xml:space="preserve"> </w:t>
      </w:r>
      <w:r w:rsidR="00447D41">
        <w:rPr>
          <w:rFonts w:ascii="Arial" w:hAnsi="Arial" w:cs="Arial"/>
        </w:rPr>
        <w:t xml:space="preserve">reads </w:t>
      </w:r>
      <w:r w:rsidRPr="004761BF">
        <w:rPr>
          <w:rFonts w:ascii="Arial" w:hAnsi="Arial" w:cs="Arial"/>
        </w:rPr>
        <w:t xml:space="preserve">now </w:t>
      </w:r>
      <w:r>
        <w:rPr>
          <w:rFonts w:ascii="Arial" w:hAnsi="Arial" w:cs="Arial"/>
        </w:rPr>
        <w:t>as follows:</w:t>
      </w:r>
    </w:p>
    <w:p w14:paraId="74234B2E" w14:textId="77777777" w:rsidR="00EE56A7" w:rsidRPr="008A0D08" w:rsidRDefault="00EE56A7">
      <w:pPr>
        <w:pStyle w:val="ListParagraph"/>
        <w:numPr>
          <w:ilvl w:val="1"/>
          <w:numId w:val="9"/>
        </w:numPr>
        <w:rPr>
          <w:rFonts w:ascii="Arial" w:hAnsi="Arial" w:cs="Arial"/>
        </w:rPr>
      </w:pPr>
      <w:r w:rsidRPr="008A0D08">
        <w:rPr>
          <w:rFonts w:ascii="Arial" w:hAnsi="Arial" w:cs="Arial"/>
        </w:rPr>
        <w:t>British Tourist Authority</w:t>
      </w:r>
    </w:p>
    <w:p w14:paraId="5A8CDC79" w14:textId="3A1486D9" w:rsidR="00766F87" w:rsidRPr="00730E8E" w:rsidRDefault="00766F87" w:rsidP="00730E8E">
      <w:pPr>
        <w:pStyle w:val="ListParagraph"/>
        <w:numPr>
          <w:ilvl w:val="1"/>
          <w:numId w:val="9"/>
        </w:numPr>
        <w:rPr>
          <w:rFonts w:ascii="Arial" w:hAnsi="Arial" w:cs="Arial"/>
        </w:rPr>
      </w:pPr>
      <w:r w:rsidRPr="00766F87">
        <w:rPr>
          <w:rFonts w:ascii="Arial" w:hAnsi="Arial" w:cs="Arial"/>
        </w:rPr>
        <w:t>An integrated care board</w:t>
      </w:r>
    </w:p>
    <w:p w14:paraId="090821D2" w14:textId="1DFBA8F1" w:rsidR="00EE56A7" w:rsidRPr="008A0D08" w:rsidRDefault="00EE56A7">
      <w:pPr>
        <w:pStyle w:val="ListParagraph"/>
        <w:numPr>
          <w:ilvl w:val="1"/>
          <w:numId w:val="9"/>
        </w:numPr>
        <w:rPr>
          <w:rFonts w:ascii="Arial" w:hAnsi="Arial" w:cs="Arial"/>
        </w:rPr>
      </w:pPr>
      <w:r w:rsidRPr="008A0D08">
        <w:rPr>
          <w:rFonts w:ascii="Arial" w:hAnsi="Arial" w:cs="Arial"/>
        </w:rPr>
        <w:t>the National Health Service Commissioning Board a clinical commissioning group</w:t>
      </w:r>
    </w:p>
    <w:p w14:paraId="18061D61" w14:textId="77777777" w:rsidR="00EE56A7" w:rsidRPr="008A0D08" w:rsidRDefault="00EE56A7">
      <w:pPr>
        <w:pStyle w:val="ListParagraph"/>
        <w:numPr>
          <w:ilvl w:val="1"/>
          <w:numId w:val="9"/>
        </w:numPr>
        <w:rPr>
          <w:rFonts w:ascii="Arial" w:hAnsi="Arial" w:cs="Arial"/>
        </w:rPr>
      </w:pPr>
      <w:r w:rsidRPr="008A0D08">
        <w:rPr>
          <w:rFonts w:ascii="Arial" w:hAnsi="Arial" w:cs="Arial"/>
        </w:rPr>
        <w:t>A Health Board</w:t>
      </w:r>
    </w:p>
    <w:p w14:paraId="69C9B1A4" w14:textId="77777777" w:rsidR="0016428C" w:rsidRPr="00730E8E" w:rsidRDefault="00EE56A7" w:rsidP="0016428C">
      <w:pPr>
        <w:pStyle w:val="ListParagraph"/>
        <w:numPr>
          <w:ilvl w:val="1"/>
          <w:numId w:val="9"/>
        </w:numPr>
        <w:rPr>
          <w:rFonts w:ascii="Arial" w:hAnsi="Arial" w:cs="Arial"/>
        </w:rPr>
      </w:pPr>
      <w:r w:rsidRPr="0016428C">
        <w:rPr>
          <w:rFonts w:ascii="Arial" w:hAnsi="Arial" w:cs="Arial"/>
        </w:rPr>
        <w:t>A Local Health Board</w:t>
      </w:r>
      <w:r w:rsidR="0016428C" w:rsidRPr="0016428C">
        <w:t xml:space="preserve"> </w:t>
      </w:r>
    </w:p>
    <w:p w14:paraId="3DA1CC88" w14:textId="7D23227B" w:rsidR="00EE56A7" w:rsidRPr="00730E8E" w:rsidRDefault="0016428C" w:rsidP="00730E8E">
      <w:pPr>
        <w:pStyle w:val="ListParagraph"/>
        <w:numPr>
          <w:ilvl w:val="1"/>
          <w:numId w:val="9"/>
        </w:numPr>
        <w:rPr>
          <w:rFonts w:ascii="Arial" w:hAnsi="Arial" w:cs="Arial"/>
        </w:rPr>
      </w:pPr>
      <w:r w:rsidRPr="0016428C">
        <w:rPr>
          <w:rFonts w:ascii="Arial" w:hAnsi="Arial" w:cs="Arial"/>
        </w:rPr>
        <w:t>An NHS foundation trust</w:t>
      </w:r>
    </w:p>
    <w:p w14:paraId="77C52FB4" w14:textId="15EB97CD" w:rsidR="001C2060" w:rsidRPr="008A0D08" w:rsidRDefault="001C2060">
      <w:pPr>
        <w:pStyle w:val="ListParagraph"/>
        <w:numPr>
          <w:ilvl w:val="1"/>
          <w:numId w:val="9"/>
        </w:numPr>
        <w:rPr>
          <w:rFonts w:ascii="Arial" w:hAnsi="Arial" w:cs="Arial"/>
        </w:rPr>
      </w:pPr>
      <w:r w:rsidRPr="001C2060">
        <w:rPr>
          <w:rFonts w:ascii="Arial" w:hAnsi="Arial" w:cs="Arial"/>
        </w:rPr>
        <w:t>A National Health S</w:t>
      </w:r>
      <w:r>
        <w:rPr>
          <w:rFonts w:ascii="Arial" w:hAnsi="Arial" w:cs="Arial"/>
        </w:rPr>
        <w:t xml:space="preserve">ervice trust established under </w:t>
      </w:r>
      <w:r w:rsidRPr="001C2060">
        <w:rPr>
          <w:rFonts w:ascii="Arial" w:hAnsi="Arial" w:cs="Arial"/>
        </w:rPr>
        <w:t>the National Health Service Act 2006, the National Heal</w:t>
      </w:r>
      <w:r>
        <w:rPr>
          <w:rFonts w:ascii="Arial" w:hAnsi="Arial" w:cs="Arial"/>
        </w:rPr>
        <w:t>th Service (Wales) Act 2006, or</w:t>
      </w:r>
      <w:r w:rsidRPr="001C2060">
        <w:rPr>
          <w:rFonts w:ascii="Arial" w:hAnsi="Arial" w:cs="Arial"/>
        </w:rPr>
        <w:t xml:space="preserve"> the National Health Service (Scotland) Act 1978</w:t>
      </w:r>
    </w:p>
    <w:p w14:paraId="03306363" w14:textId="77777777" w:rsidR="00EE56A7" w:rsidRPr="008A0D08" w:rsidRDefault="00EE56A7">
      <w:pPr>
        <w:pStyle w:val="ListParagraph"/>
        <w:numPr>
          <w:ilvl w:val="1"/>
          <w:numId w:val="9"/>
        </w:numPr>
        <w:rPr>
          <w:rFonts w:ascii="Arial" w:hAnsi="Arial" w:cs="Arial"/>
        </w:rPr>
      </w:pPr>
      <w:r w:rsidRPr="008A0D08">
        <w:rPr>
          <w:rFonts w:ascii="Arial" w:hAnsi="Arial" w:cs="Arial"/>
        </w:rPr>
        <w:t>An NHS foundation trust</w:t>
      </w:r>
    </w:p>
    <w:p w14:paraId="7261889B" w14:textId="77777777" w:rsidR="00EE56A7" w:rsidRPr="008A0D08" w:rsidRDefault="00EE56A7">
      <w:pPr>
        <w:pStyle w:val="ListParagraph"/>
        <w:numPr>
          <w:ilvl w:val="1"/>
          <w:numId w:val="9"/>
        </w:numPr>
        <w:rPr>
          <w:rFonts w:ascii="Arial" w:hAnsi="Arial" w:cs="Arial"/>
        </w:rPr>
      </w:pPr>
      <w:r w:rsidRPr="008A0D08">
        <w:rPr>
          <w:rFonts w:ascii="Arial" w:hAnsi="Arial" w:cs="Arial"/>
        </w:rPr>
        <w:t>The National Institute for Health and Care Excellence.</w:t>
      </w:r>
    </w:p>
    <w:p w14:paraId="1D7FFFAF" w14:textId="024D6CD1" w:rsidR="00EE56A7" w:rsidRDefault="00EE56A7">
      <w:pPr>
        <w:pStyle w:val="ListParagraph"/>
        <w:numPr>
          <w:ilvl w:val="1"/>
          <w:numId w:val="9"/>
        </w:numPr>
        <w:rPr>
          <w:rFonts w:ascii="Arial" w:hAnsi="Arial" w:cs="Arial"/>
        </w:rPr>
      </w:pPr>
      <w:r w:rsidRPr="008A0D08">
        <w:rPr>
          <w:rFonts w:ascii="Arial" w:hAnsi="Arial" w:cs="Arial"/>
        </w:rPr>
        <w:t>A Special Health Authority</w:t>
      </w:r>
    </w:p>
    <w:p w14:paraId="6F543556" w14:textId="2EF8B5E4" w:rsidR="009D5301" w:rsidRPr="00730E8E" w:rsidRDefault="009D5301" w:rsidP="00730E8E">
      <w:pPr>
        <w:pStyle w:val="ListParagraph"/>
        <w:numPr>
          <w:ilvl w:val="1"/>
          <w:numId w:val="9"/>
        </w:numPr>
        <w:rPr>
          <w:rFonts w:ascii="Arial" w:hAnsi="Arial" w:cs="Arial"/>
        </w:rPr>
      </w:pPr>
      <w:r w:rsidRPr="009D5301">
        <w:rPr>
          <w:rFonts w:ascii="Arial" w:hAnsi="Arial" w:cs="Arial"/>
        </w:rPr>
        <w:t>A Special Health Board</w:t>
      </w:r>
    </w:p>
    <w:p w14:paraId="2C28519B" w14:textId="77777777" w:rsidR="00EE56A7" w:rsidRPr="008A0D08" w:rsidRDefault="00EE56A7">
      <w:pPr>
        <w:pStyle w:val="ListParagraph"/>
        <w:numPr>
          <w:ilvl w:val="1"/>
          <w:numId w:val="9"/>
        </w:numPr>
        <w:rPr>
          <w:rFonts w:ascii="Arial" w:hAnsi="Arial" w:cs="Arial"/>
        </w:rPr>
      </w:pPr>
      <w:r w:rsidRPr="008A0D08">
        <w:rPr>
          <w:rFonts w:ascii="Arial" w:hAnsi="Arial" w:cs="Arial"/>
        </w:rPr>
        <w:t>The National Assembly for Wales</w:t>
      </w:r>
    </w:p>
    <w:p w14:paraId="21CF84AC" w14:textId="77777777" w:rsidR="00EE56A7" w:rsidRPr="004761BF" w:rsidRDefault="00EE56A7" w:rsidP="00730E8E">
      <w:pPr>
        <w:spacing w:line="240" w:lineRule="auto"/>
        <w:rPr>
          <w:rFonts w:ascii="Arial" w:hAnsi="Arial" w:cs="Arial"/>
        </w:rPr>
      </w:pPr>
    </w:p>
    <w:p w14:paraId="31217A66" w14:textId="301C05AE" w:rsidR="00EE56A7" w:rsidRPr="004761BF" w:rsidRDefault="01A3A62F" w:rsidP="7D6BE9DE">
      <w:pPr>
        <w:spacing w:line="240" w:lineRule="auto"/>
        <w:ind w:left="720" w:hanging="720"/>
        <w:rPr>
          <w:rFonts w:ascii="Arial" w:hAnsi="Arial" w:cs="Arial"/>
          <w:b/>
          <w:bCs/>
        </w:rPr>
      </w:pPr>
      <w:r w:rsidRPr="7D6BE9DE">
        <w:rPr>
          <w:rFonts w:ascii="Arial" w:hAnsi="Arial" w:cs="Arial"/>
          <w:b/>
          <w:bCs/>
        </w:rPr>
        <w:lastRenderedPageBreak/>
        <w:t>2</w:t>
      </w:r>
      <w:r w:rsidR="00EE56A7">
        <w:tab/>
      </w:r>
      <w:r w:rsidRPr="7D6BE9DE">
        <w:rPr>
          <w:rFonts w:ascii="Arial" w:hAnsi="Arial" w:cs="Arial"/>
          <w:b/>
          <w:bCs/>
        </w:rPr>
        <w:t>THE INTERNATIONAL DEVELOPMENT ACT 2002 IN THE CONTEXT OF THE</w:t>
      </w:r>
      <w:r w:rsidR="4E2934F4" w:rsidRPr="7D6BE9DE">
        <w:rPr>
          <w:rFonts w:ascii="Arial" w:hAnsi="Arial" w:cs="Arial"/>
          <w:b/>
          <w:bCs/>
        </w:rPr>
        <w:t xml:space="preserve"> </w:t>
      </w:r>
      <w:r w:rsidR="002E437C">
        <w:rPr>
          <w:rFonts w:ascii="Arial" w:hAnsi="Arial" w:cs="Arial"/>
          <w:b/>
          <w:bCs/>
        </w:rPr>
        <w:t>GLOBAL HEALTH WORKFORCE PROGRAMME</w:t>
      </w:r>
      <w:r w:rsidRPr="7D6BE9DE">
        <w:rPr>
          <w:rFonts w:ascii="Arial" w:hAnsi="Arial" w:cs="Arial"/>
          <w:b/>
          <w:bCs/>
        </w:rPr>
        <w:t>:</w:t>
      </w:r>
    </w:p>
    <w:p w14:paraId="6C617292" w14:textId="5ADBADF7" w:rsidR="00EE56A7" w:rsidRPr="004761BF" w:rsidRDefault="01A3A62F" w:rsidP="00730E8E">
      <w:pPr>
        <w:spacing w:line="240" w:lineRule="auto"/>
        <w:ind w:left="720" w:hanging="720"/>
        <w:jc w:val="both"/>
        <w:rPr>
          <w:rFonts w:ascii="Arial" w:hAnsi="Arial" w:cs="Arial"/>
        </w:rPr>
      </w:pPr>
      <w:r w:rsidRPr="7D6BE9DE">
        <w:rPr>
          <w:rFonts w:ascii="Arial" w:hAnsi="Arial" w:cs="Arial"/>
        </w:rPr>
        <w:t>2.1</w:t>
      </w:r>
      <w:r w:rsidR="00EE56A7">
        <w:tab/>
      </w:r>
      <w:r w:rsidRPr="7D6BE9DE">
        <w:rPr>
          <w:rFonts w:ascii="Arial" w:hAnsi="Arial" w:cs="Arial"/>
        </w:rPr>
        <w:t xml:space="preserve">Two elements of the International Development Act potentially affect organisations awarded grants under </w:t>
      </w:r>
      <w:r w:rsidR="4C574C7F" w:rsidRPr="7D6BE9DE">
        <w:rPr>
          <w:rFonts w:ascii="Arial" w:hAnsi="Arial" w:cs="Arial"/>
        </w:rPr>
        <w:t>GHWP</w:t>
      </w:r>
      <w:r w:rsidRPr="7D6BE9DE">
        <w:rPr>
          <w:rFonts w:ascii="Arial" w:hAnsi="Arial" w:cs="Arial"/>
        </w:rPr>
        <w:t>;</w:t>
      </w:r>
    </w:p>
    <w:p w14:paraId="71752ADF" w14:textId="1ABE1338" w:rsidR="00EE56A7" w:rsidRPr="004761BF" w:rsidRDefault="00EE56A7" w:rsidP="00730E8E">
      <w:pPr>
        <w:numPr>
          <w:ilvl w:val="0"/>
          <w:numId w:val="11"/>
        </w:numPr>
        <w:spacing w:after="0" w:line="240" w:lineRule="auto"/>
        <w:jc w:val="both"/>
        <w:rPr>
          <w:rFonts w:ascii="Arial" w:hAnsi="Arial" w:cs="Arial"/>
        </w:rPr>
      </w:pPr>
      <w:r w:rsidRPr="004761BF">
        <w:rPr>
          <w:rFonts w:ascii="Arial" w:hAnsi="Arial" w:cs="Arial"/>
        </w:rPr>
        <w:t>If the grant-holder is a listed public body as defined by Schedule 1 to the Act, it is necessary for the Grant Agreement between THET and the grant-holder to be approved by the Secretary of State, and</w:t>
      </w:r>
    </w:p>
    <w:p w14:paraId="36FA9324" w14:textId="2AED365F" w:rsidR="00EE56A7" w:rsidRDefault="00EE56A7" w:rsidP="0095685B">
      <w:pPr>
        <w:numPr>
          <w:ilvl w:val="0"/>
          <w:numId w:val="11"/>
        </w:numPr>
        <w:spacing w:after="0" w:line="240" w:lineRule="auto"/>
        <w:jc w:val="both"/>
        <w:rPr>
          <w:rFonts w:ascii="Arial" w:hAnsi="Arial" w:cs="Arial"/>
        </w:rPr>
      </w:pPr>
      <w:r w:rsidRPr="004761BF">
        <w:rPr>
          <w:rFonts w:ascii="Arial" w:hAnsi="Arial" w:cs="Arial"/>
        </w:rPr>
        <w:t>the public body has to undertake that it will not provide financial assistance to overseas bodies from its own (</w:t>
      </w:r>
      <w:r w:rsidR="00663496" w:rsidRPr="004761BF">
        <w:rPr>
          <w:rFonts w:ascii="Arial" w:hAnsi="Arial" w:cs="Arial"/>
        </w:rPr>
        <w:t>i.e.</w:t>
      </w:r>
      <w:r w:rsidRPr="004761BF">
        <w:rPr>
          <w:rFonts w:ascii="Arial" w:hAnsi="Arial" w:cs="Arial"/>
        </w:rPr>
        <w:t xml:space="preserve"> n</w:t>
      </w:r>
      <w:r>
        <w:rPr>
          <w:rFonts w:ascii="Arial" w:hAnsi="Arial" w:cs="Arial"/>
        </w:rPr>
        <w:t xml:space="preserve">on-grant) sources. Paragraph </w:t>
      </w:r>
      <w:r>
        <w:rPr>
          <w:rFonts w:ascii="Arial" w:hAnsi="Arial" w:cs="Arial"/>
        </w:rPr>
        <w:fldChar w:fldCharType="begin"/>
      </w:r>
      <w:r>
        <w:rPr>
          <w:rFonts w:ascii="Arial" w:hAnsi="Arial" w:cs="Arial"/>
        </w:rPr>
        <w:instrText xml:space="preserve"> REF _Ref393441768 \r \h </w:instrText>
      </w:r>
      <w:r w:rsidR="00EC5CC0">
        <w:rPr>
          <w:rFonts w:ascii="Arial" w:hAnsi="Arial" w:cs="Arial"/>
        </w:rPr>
        <w:instrText xml:space="preserve"> \* MERGEFORMAT </w:instrText>
      </w:r>
      <w:r>
        <w:rPr>
          <w:rFonts w:ascii="Arial" w:hAnsi="Arial" w:cs="Arial"/>
        </w:rPr>
      </w:r>
      <w:r>
        <w:rPr>
          <w:rFonts w:ascii="Arial" w:hAnsi="Arial" w:cs="Arial"/>
        </w:rPr>
        <w:fldChar w:fldCharType="separate"/>
      </w:r>
      <w:r w:rsidR="006B5F2E">
        <w:rPr>
          <w:rFonts w:ascii="Arial" w:hAnsi="Arial" w:cs="Arial"/>
        </w:rPr>
        <w:t>1.7</w:t>
      </w:r>
      <w:r>
        <w:rPr>
          <w:rFonts w:ascii="Arial" w:hAnsi="Arial" w:cs="Arial"/>
        </w:rPr>
        <w:fldChar w:fldCharType="end"/>
      </w:r>
      <w:r w:rsidR="00E3566C">
        <w:rPr>
          <w:rFonts w:ascii="Arial" w:hAnsi="Arial" w:cs="Arial"/>
        </w:rPr>
        <w:t xml:space="preserve"> (Purpose of Grant)</w:t>
      </w:r>
      <w:r w:rsidRPr="004761BF">
        <w:rPr>
          <w:rFonts w:ascii="Arial" w:hAnsi="Arial" w:cs="Arial"/>
        </w:rPr>
        <w:t xml:space="preserve"> of the Grant Agreement refers.</w:t>
      </w:r>
    </w:p>
    <w:p w14:paraId="45EB95BC" w14:textId="77777777" w:rsidR="00EE56A7" w:rsidRPr="004761BF" w:rsidRDefault="00EE56A7" w:rsidP="00730E8E">
      <w:pPr>
        <w:spacing w:line="240" w:lineRule="auto"/>
        <w:ind w:left="720"/>
        <w:jc w:val="both"/>
        <w:rPr>
          <w:rFonts w:ascii="Arial" w:hAnsi="Arial" w:cs="Arial"/>
        </w:rPr>
      </w:pPr>
    </w:p>
    <w:p w14:paraId="79DC15F9" w14:textId="212E5DCB" w:rsidR="00EE56A7" w:rsidRPr="004761BF" w:rsidRDefault="00EE56A7" w:rsidP="00730E8E">
      <w:pPr>
        <w:spacing w:line="240" w:lineRule="auto"/>
        <w:ind w:left="720" w:hanging="720"/>
        <w:jc w:val="both"/>
        <w:rPr>
          <w:rFonts w:ascii="Arial" w:hAnsi="Arial" w:cs="Arial"/>
        </w:rPr>
      </w:pPr>
      <w:r w:rsidRPr="004761BF">
        <w:rPr>
          <w:rFonts w:ascii="Arial" w:hAnsi="Arial" w:cs="Arial"/>
        </w:rPr>
        <w:t>2.2</w:t>
      </w:r>
      <w:r w:rsidRPr="004761BF">
        <w:rPr>
          <w:rFonts w:ascii="Arial" w:hAnsi="Arial" w:cs="Arial"/>
        </w:rPr>
        <w:tab/>
      </w:r>
      <w:r w:rsidR="00632356">
        <w:rPr>
          <w:rFonts w:ascii="Arial" w:hAnsi="Arial" w:cs="Arial"/>
        </w:rPr>
        <w:t>Lead Partner</w:t>
      </w:r>
      <w:r w:rsidRPr="004761BF">
        <w:rPr>
          <w:rFonts w:ascii="Arial" w:hAnsi="Arial" w:cs="Arial"/>
        </w:rPr>
        <w:t xml:space="preserve">s need take no action in respect of seeking the consent of the Secretary of State. This will be obtained through a mechanism agreed between </w:t>
      </w:r>
      <w:r w:rsidR="00B76D2C">
        <w:rPr>
          <w:rFonts w:ascii="Arial" w:hAnsi="Arial" w:cs="Arial"/>
        </w:rPr>
        <w:t>DHSC</w:t>
      </w:r>
      <w:r w:rsidRPr="004761BF">
        <w:rPr>
          <w:rFonts w:ascii="Arial" w:hAnsi="Arial" w:cs="Arial"/>
        </w:rPr>
        <w:t xml:space="preserve"> and THET. The process will not normally delay grant implementation.</w:t>
      </w:r>
    </w:p>
    <w:p w14:paraId="0B43F901" w14:textId="77777777" w:rsidR="00EE56A7" w:rsidRPr="004761BF" w:rsidRDefault="00EE56A7" w:rsidP="00730E8E">
      <w:pPr>
        <w:spacing w:line="240" w:lineRule="auto"/>
        <w:ind w:left="720" w:hanging="720"/>
        <w:jc w:val="both"/>
        <w:rPr>
          <w:rFonts w:ascii="Arial" w:hAnsi="Arial" w:cs="Arial"/>
        </w:rPr>
      </w:pPr>
    </w:p>
    <w:p w14:paraId="49B46578" w14:textId="6F281911" w:rsidR="00EE56A7" w:rsidRPr="00B77051" w:rsidRDefault="4C574C7F" w:rsidP="00730E8E">
      <w:pPr>
        <w:spacing w:line="240" w:lineRule="auto"/>
        <w:ind w:left="720" w:hanging="720"/>
        <w:jc w:val="both"/>
        <w:rPr>
          <w:rFonts w:ascii="Arial" w:hAnsi="Arial" w:cs="Arial"/>
        </w:rPr>
      </w:pPr>
      <w:r w:rsidRPr="7D6BE9DE">
        <w:rPr>
          <w:rFonts w:ascii="Arial" w:hAnsi="Arial" w:cs="Arial"/>
        </w:rPr>
        <w:t>GHWP</w:t>
      </w:r>
      <w:r w:rsidR="01A3A62F" w:rsidRPr="7D6BE9DE">
        <w:rPr>
          <w:rFonts w:ascii="Arial" w:hAnsi="Arial" w:cs="Arial"/>
        </w:rPr>
        <w:t xml:space="preserve"> Team</w:t>
      </w:r>
    </w:p>
    <w:p w14:paraId="5C134691" w14:textId="6A871CBD" w:rsidR="00F66222" w:rsidRDefault="00F66222">
      <w:pPr>
        <w:spacing w:after="0" w:line="240" w:lineRule="auto"/>
        <w:rPr>
          <w:rFonts w:ascii="Arial" w:hAnsi="Arial" w:cs="Arial"/>
        </w:rPr>
      </w:pPr>
      <w:r>
        <w:rPr>
          <w:rFonts w:ascii="Arial" w:hAnsi="Arial" w:cs="Arial"/>
        </w:rPr>
        <w:br w:type="page"/>
      </w:r>
    </w:p>
    <w:p w14:paraId="6CF6EB9C" w14:textId="01F8E6AF" w:rsidR="00F66222" w:rsidRPr="00245E7D" w:rsidRDefault="00F66222" w:rsidP="00730E8E">
      <w:pPr>
        <w:widowControl w:val="0"/>
        <w:autoSpaceDE w:val="0"/>
        <w:autoSpaceDN w:val="0"/>
        <w:adjustRightInd w:val="0"/>
        <w:spacing w:before="120" w:after="120" w:line="240" w:lineRule="auto"/>
        <w:jc w:val="center"/>
        <w:rPr>
          <w:rFonts w:ascii="Arial" w:hAnsi="Arial" w:cs="Arial"/>
          <w:b/>
          <w:bCs/>
        </w:rPr>
      </w:pPr>
      <w:r w:rsidRPr="3D0B1B74">
        <w:rPr>
          <w:rFonts w:ascii="Arial" w:hAnsi="Arial" w:cs="Arial"/>
          <w:b/>
          <w:bCs/>
        </w:rPr>
        <w:lastRenderedPageBreak/>
        <w:t>Annex 2:</w:t>
      </w:r>
    </w:p>
    <w:p w14:paraId="5C66665C" w14:textId="719D6EA7" w:rsidR="00F66222" w:rsidRPr="00245E7D" w:rsidRDefault="00F66222" w:rsidP="00730E8E">
      <w:pPr>
        <w:spacing w:line="240" w:lineRule="auto"/>
        <w:ind w:left="720" w:hanging="720"/>
        <w:jc w:val="both"/>
        <w:rPr>
          <w:rFonts w:ascii="Arial" w:hAnsi="Arial" w:cs="Arial"/>
          <w:b/>
        </w:rPr>
      </w:pPr>
      <w:r w:rsidRPr="00245E7D">
        <w:rPr>
          <w:rFonts w:ascii="Arial" w:hAnsi="Arial" w:cs="Arial"/>
          <w:b/>
        </w:rPr>
        <w:t xml:space="preserve">Grant payment </w:t>
      </w:r>
      <w:r w:rsidR="003D57D1">
        <w:rPr>
          <w:rFonts w:ascii="Arial" w:hAnsi="Arial" w:cs="Arial"/>
          <w:b/>
        </w:rPr>
        <w:t xml:space="preserve">and </w:t>
      </w:r>
      <w:r w:rsidR="00D84477">
        <w:rPr>
          <w:rFonts w:ascii="Arial" w:hAnsi="Arial" w:cs="Arial"/>
          <w:b/>
        </w:rPr>
        <w:t>key</w:t>
      </w:r>
      <w:r w:rsidR="002B76D4">
        <w:rPr>
          <w:rFonts w:ascii="Arial" w:hAnsi="Arial" w:cs="Arial"/>
          <w:b/>
        </w:rPr>
        <w:t xml:space="preserve"> </w:t>
      </w:r>
      <w:r w:rsidR="003D57D1">
        <w:rPr>
          <w:rFonts w:ascii="Arial" w:hAnsi="Arial" w:cs="Arial"/>
          <w:b/>
        </w:rPr>
        <w:t xml:space="preserve">reporting </w:t>
      </w:r>
      <w:r w:rsidRPr="00245E7D">
        <w:rPr>
          <w:rFonts w:ascii="Arial" w:hAnsi="Arial" w:cs="Arial"/>
          <w:b/>
        </w:rPr>
        <w:t>schedule</w:t>
      </w:r>
    </w:p>
    <w:p w14:paraId="4757A782" w14:textId="300F627F" w:rsidR="00B20EF8" w:rsidRDefault="00B60FE0" w:rsidP="00730E8E">
      <w:pPr>
        <w:spacing w:after="360" w:line="240" w:lineRule="auto"/>
        <w:rPr>
          <w:rFonts w:ascii="Arial" w:hAnsi="Arial" w:cs="Arial"/>
        </w:rPr>
      </w:pPr>
      <w:r w:rsidRPr="00245E7D">
        <w:rPr>
          <w:rFonts w:ascii="Arial" w:hAnsi="Arial" w:cs="Arial"/>
          <w:b/>
          <w:lang w:val="en-US"/>
        </w:rPr>
        <w:t>Grant ID and Lead name</w:t>
      </w:r>
      <w:r w:rsidR="00B20EF8" w:rsidRPr="00B20EF8">
        <w:rPr>
          <w:rFonts w:ascii="Arial" w:hAnsi="Arial" w:cs="Arial"/>
          <w:b/>
          <w:lang w:val="en-US"/>
        </w:rPr>
        <w:t xml:space="preserve">: </w:t>
      </w:r>
      <w:r w:rsidR="00735ECE">
        <w:rPr>
          <w:rFonts w:ascii="Arial" w:hAnsi="Arial" w:cs="Arial"/>
        </w:rPr>
        <w:t>[</w:t>
      </w:r>
      <w:r w:rsidR="00735ECE" w:rsidRPr="007700F3">
        <w:rPr>
          <w:rFonts w:ascii="Arial" w:hAnsi="Arial" w:cs="Arial"/>
          <w:highlight w:val="yellow"/>
        </w:rPr>
        <w:t>●</w:t>
      </w:r>
      <w:r w:rsidR="00735ECE">
        <w:rPr>
          <w:rFonts w:ascii="Arial" w:hAnsi="Arial" w:cs="Arial"/>
        </w:rPr>
        <w:t>]</w:t>
      </w:r>
    </w:p>
    <w:p w14:paraId="59D767BC" w14:textId="3625E2C4" w:rsidR="00D7566A" w:rsidRPr="001B6338" w:rsidRDefault="001B6338" w:rsidP="00730E8E">
      <w:pPr>
        <w:spacing w:after="360" w:line="240" w:lineRule="auto"/>
        <w:rPr>
          <w:rFonts w:ascii="Arial" w:hAnsi="Arial" w:cs="Arial"/>
          <w:bCs/>
          <w:lang w:val="en-US"/>
        </w:rPr>
      </w:pPr>
      <w:r w:rsidRPr="00B65FCF">
        <w:rPr>
          <w:rFonts w:ascii="Arial" w:hAnsi="Arial" w:cs="Arial"/>
          <w:b/>
          <w:lang w:val="en-US"/>
        </w:rPr>
        <w:t>Note</w:t>
      </w:r>
      <w:r w:rsidRPr="001B6338">
        <w:rPr>
          <w:rFonts w:ascii="Arial" w:hAnsi="Arial" w:cs="Arial"/>
          <w:bCs/>
          <w:lang w:val="en-US"/>
        </w:rPr>
        <w:t xml:space="preserve">: </w:t>
      </w:r>
      <w:r w:rsidRPr="00B65FCF">
        <w:rPr>
          <w:rFonts w:ascii="Arial" w:hAnsi="Arial" w:cs="Arial"/>
          <w:bCs/>
          <w:i/>
          <w:iCs/>
          <w:lang w:val="en-US"/>
        </w:rPr>
        <w:t>The table below provides an overview of the timings of the key reports to be delivered by the Lead Partner to THET under the Agreement.</w:t>
      </w:r>
    </w:p>
    <w:tbl>
      <w:tblPr>
        <w:tblStyle w:val="TableGrid"/>
        <w:tblW w:w="5208" w:type="pct"/>
        <w:tblLayout w:type="fixed"/>
        <w:tblLook w:val="04A0" w:firstRow="1" w:lastRow="0" w:firstColumn="1" w:lastColumn="0" w:noHBand="0" w:noVBand="1"/>
      </w:tblPr>
      <w:tblGrid>
        <w:gridCol w:w="1098"/>
        <w:gridCol w:w="2014"/>
        <w:gridCol w:w="1984"/>
        <w:gridCol w:w="4964"/>
      </w:tblGrid>
      <w:tr w:rsidR="00DE6628" w:rsidRPr="00B20EF8" w14:paraId="65EA145B" w14:textId="77777777" w:rsidTr="00DE6628">
        <w:trPr>
          <w:trHeight w:val="300"/>
        </w:trPr>
        <w:tc>
          <w:tcPr>
            <w:tcW w:w="546" w:type="pct"/>
            <w:noWrap/>
            <w:hideMark/>
          </w:tcPr>
          <w:p w14:paraId="31B89B9D" w14:textId="77777777" w:rsidR="00C031FC" w:rsidRPr="00B20EF8" w:rsidRDefault="00C031FC" w:rsidP="004356B0">
            <w:pPr>
              <w:spacing w:after="0" w:line="240" w:lineRule="auto"/>
              <w:rPr>
                <w:rFonts w:ascii="Arial" w:eastAsia="Times New Roman" w:hAnsi="Arial" w:cs="Arial"/>
                <w:b/>
                <w:color w:val="000000"/>
                <w:lang w:eastAsia="en-GB"/>
              </w:rPr>
            </w:pPr>
            <w:r w:rsidRPr="00B20EF8">
              <w:rPr>
                <w:rFonts w:ascii="Arial" w:eastAsia="Times New Roman" w:hAnsi="Arial" w:cs="Arial"/>
                <w:b/>
                <w:color w:val="000000"/>
                <w:lang w:eastAsia="en-GB"/>
              </w:rPr>
              <w:t>Period</w:t>
            </w:r>
          </w:p>
          <w:p w14:paraId="1236913B" w14:textId="77777777" w:rsidR="00C031FC" w:rsidRPr="00B20EF8" w:rsidRDefault="00C031FC" w:rsidP="004356B0">
            <w:pPr>
              <w:spacing w:after="0" w:line="240" w:lineRule="auto"/>
              <w:rPr>
                <w:rFonts w:ascii="Arial" w:eastAsia="Times New Roman" w:hAnsi="Arial" w:cs="Arial"/>
                <w:b/>
                <w:color w:val="000000"/>
                <w:lang w:eastAsia="en-GB"/>
              </w:rPr>
            </w:pPr>
          </w:p>
        </w:tc>
        <w:tc>
          <w:tcPr>
            <w:tcW w:w="1001" w:type="pct"/>
            <w:noWrap/>
            <w:hideMark/>
          </w:tcPr>
          <w:p w14:paraId="526E4AF1" w14:textId="77777777" w:rsidR="00C031FC" w:rsidRPr="00B20EF8" w:rsidRDefault="00C031FC" w:rsidP="004356B0">
            <w:pPr>
              <w:spacing w:after="0" w:line="240" w:lineRule="auto"/>
              <w:rPr>
                <w:rFonts w:ascii="Arial" w:eastAsia="Times New Roman" w:hAnsi="Arial" w:cs="Arial"/>
                <w:b/>
                <w:color w:val="000000"/>
                <w:lang w:eastAsia="en-GB"/>
              </w:rPr>
            </w:pPr>
            <w:r w:rsidRPr="00B20EF8">
              <w:rPr>
                <w:rFonts w:ascii="Arial" w:eastAsia="Times New Roman" w:hAnsi="Arial" w:cs="Arial"/>
                <w:b/>
                <w:color w:val="000000"/>
                <w:lang w:eastAsia="en-GB"/>
              </w:rPr>
              <w:t>Month</w:t>
            </w:r>
          </w:p>
          <w:p w14:paraId="6C3DD677" w14:textId="77777777" w:rsidR="00C031FC" w:rsidRPr="00B20EF8" w:rsidRDefault="00C031FC" w:rsidP="004356B0">
            <w:pPr>
              <w:spacing w:after="0" w:line="240" w:lineRule="auto"/>
              <w:rPr>
                <w:rFonts w:ascii="Arial" w:eastAsia="Times New Roman" w:hAnsi="Arial" w:cs="Arial"/>
                <w:b/>
                <w:color w:val="000000"/>
                <w:lang w:eastAsia="en-GB"/>
              </w:rPr>
            </w:pPr>
          </w:p>
        </w:tc>
        <w:tc>
          <w:tcPr>
            <w:tcW w:w="986" w:type="pct"/>
            <w:noWrap/>
            <w:hideMark/>
          </w:tcPr>
          <w:p w14:paraId="54C4EEBA" w14:textId="77777777" w:rsidR="00C031FC" w:rsidRPr="00B20EF8" w:rsidRDefault="00C031FC" w:rsidP="004356B0">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Payment </w:t>
            </w:r>
            <w:r w:rsidRPr="00F06AE5">
              <w:rPr>
                <w:rFonts w:ascii="Arial" w:eastAsia="Times New Roman" w:hAnsi="Arial" w:cs="Arial"/>
                <w:i/>
                <w:color w:val="000000"/>
                <w:lang w:eastAsia="en-GB"/>
              </w:rPr>
              <w:t>(at month end)</w:t>
            </w:r>
          </w:p>
          <w:p w14:paraId="22074285" w14:textId="77777777" w:rsidR="00C031FC" w:rsidRPr="00B20EF8" w:rsidRDefault="00C031FC" w:rsidP="004356B0">
            <w:pPr>
              <w:spacing w:after="0" w:line="240" w:lineRule="auto"/>
              <w:rPr>
                <w:rFonts w:ascii="Arial" w:eastAsia="Times New Roman" w:hAnsi="Arial" w:cs="Arial"/>
                <w:b/>
                <w:color w:val="000000"/>
                <w:lang w:eastAsia="en-GB"/>
              </w:rPr>
            </w:pPr>
          </w:p>
        </w:tc>
        <w:tc>
          <w:tcPr>
            <w:tcW w:w="2467" w:type="pct"/>
            <w:noWrap/>
            <w:hideMark/>
          </w:tcPr>
          <w:p w14:paraId="0B8F9FD8" w14:textId="676E947D" w:rsidR="00C031FC" w:rsidRPr="00B20EF8" w:rsidRDefault="00C031FC" w:rsidP="004356B0">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Reporting </w:t>
            </w:r>
          </w:p>
          <w:p w14:paraId="1FF3C570" w14:textId="77777777" w:rsidR="00C031FC" w:rsidRPr="00B20EF8" w:rsidRDefault="00C031FC" w:rsidP="004356B0">
            <w:pPr>
              <w:spacing w:after="0" w:line="240" w:lineRule="auto"/>
              <w:rPr>
                <w:rFonts w:ascii="Arial" w:eastAsia="Times New Roman" w:hAnsi="Arial" w:cs="Arial"/>
                <w:b/>
                <w:color w:val="000000"/>
                <w:lang w:eastAsia="en-GB"/>
              </w:rPr>
            </w:pPr>
          </w:p>
        </w:tc>
      </w:tr>
      <w:tr w:rsidR="00DE6628" w:rsidRPr="00B20EF8" w14:paraId="67EB5F25" w14:textId="77777777" w:rsidTr="00DE6628">
        <w:trPr>
          <w:trHeight w:val="475"/>
        </w:trPr>
        <w:tc>
          <w:tcPr>
            <w:tcW w:w="546" w:type="pct"/>
            <w:noWrap/>
          </w:tcPr>
          <w:p w14:paraId="5B9A13E8" w14:textId="066FED6B" w:rsidR="00187AF4" w:rsidRPr="007700F3" w:rsidRDefault="00187AF4" w:rsidP="00187AF4">
            <w:pPr>
              <w:spacing w:after="0" w:line="240" w:lineRule="auto"/>
              <w:rPr>
                <w:rFonts w:ascii="Arial" w:eastAsia="Times New Roman" w:hAnsi="Arial" w:cs="Arial"/>
                <w:color w:val="000000"/>
                <w:highlight w:val="yellow"/>
                <w:lang w:eastAsia="en-GB"/>
              </w:rPr>
            </w:pPr>
            <w:r>
              <w:rPr>
                <w:rFonts w:ascii="Arial" w:eastAsia="Times New Roman" w:hAnsi="Arial" w:cs="Arial"/>
                <w:color w:val="000000"/>
                <w:lang w:eastAsia="en-GB"/>
              </w:rPr>
              <w:t>N/A</w:t>
            </w:r>
          </w:p>
        </w:tc>
        <w:tc>
          <w:tcPr>
            <w:tcW w:w="1001" w:type="pct"/>
            <w:noWrap/>
          </w:tcPr>
          <w:p w14:paraId="4DC8A86E" w14:textId="3BED81C3" w:rsidR="00187AF4" w:rsidRPr="007700F3" w:rsidRDefault="00187AF4" w:rsidP="00187AF4">
            <w:pPr>
              <w:spacing w:after="0" w:line="240" w:lineRule="auto"/>
              <w:rPr>
                <w:rFonts w:ascii="Arial" w:eastAsia="Times New Roman" w:hAnsi="Arial" w:cs="Arial"/>
                <w:color w:val="000000"/>
                <w:highlight w:val="yellow"/>
                <w:lang w:eastAsia="en-GB"/>
              </w:rPr>
            </w:pPr>
            <w:r w:rsidRPr="00B33C7C">
              <w:rPr>
                <w:rFonts w:ascii="Arial" w:eastAsia="Times New Roman" w:hAnsi="Arial" w:cs="Arial"/>
                <w:i/>
                <w:color w:val="000000"/>
                <w:lang w:eastAsia="en-GB"/>
              </w:rPr>
              <w:t>Upon receipt of Agreement between THET and the Lead Partner signed by both parties.</w:t>
            </w:r>
          </w:p>
        </w:tc>
        <w:tc>
          <w:tcPr>
            <w:tcW w:w="986" w:type="pct"/>
            <w:noWrap/>
          </w:tcPr>
          <w:p w14:paraId="6CBE6643" w14:textId="2B357482" w:rsidR="00187AF4" w:rsidRPr="007700F3" w:rsidRDefault="00187AF4" w:rsidP="00187AF4">
            <w:pPr>
              <w:spacing w:after="0" w:line="240" w:lineRule="auto"/>
              <w:rPr>
                <w:rFonts w:ascii="Arial" w:eastAsia="Times New Roman" w:hAnsi="Arial" w:cs="Arial"/>
                <w:color w:val="000000"/>
                <w:highlight w:val="yellow"/>
                <w:lang w:eastAsia="en-GB"/>
              </w:rPr>
            </w:pPr>
            <w:r w:rsidRPr="007700F3">
              <w:rPr>
                <w:rFonts w:ascii="Arial" w:eastAsia="Times New Roman" w:hAnsi="Arial" w:cs="Arial"/>
                <w:color w:val="000000"/>
                <w:highlight w:val="yellow"/>
                <w:lang w:eastAsia="en-GB"/>
              </w:rPr>
              <w:t>[●]</w:t>
            </w:r>
          </w:p>
        </w:tc>
        <w:tc>
          <w:tcPr>
            <w:tcW w:w="2467" w:type="pct"/>
            <w:noWrap/>
            <w:hideMark/>
          </w:tcPr>
          <w:p w14:paraId="5F66056F" w14:textId="1F909FC1" w:rsidR="00187AF4" w:rsidRPr="00B20EF8" w:rsidRDefault="00187AF4" w:rsidP="00187AF4">
            <w:pPr>
              <w:spacing w:after="0" w:line="240" w:lineRule="auto"/>
              <w:rPr>
                <w:rFonts w:ascii="Arial" w:eastAsia="Times New Roman" w:hAnsi="Arial" w:cs="Arial"/>
                <w:color w:val="000000"/>
                <w:lang w:eastAsia="en-GB"/>
              </w:rPr>
            </w:pPr>
          </w:p>
        </w:tc>
      </w:tr>
      <w:tr w:rsidR="00DE6628" w:rsidRPr="00B20EF8" w14:paraId="52F7ECAA" w14:textId="77777777" w:rsidTr="00DE6628">
        <w:trPr>
          <w:trHeight w:val="825"/>
        </w:trPr>
        <w:tc>
          <w:tcPr>
            <w:tcW w:w="546" w:type="pct"/>
            <w:noWrap/>
          </w:tcPr>
          <w:p w14:paraId="52BE3039" w14:textId="7AADA638" w:rsidR="00CE048F" w:rsidRPr="005F21EA" w:rsidRDefault="00CE048F" w:rsidP="00CE048F">
            <w:pPr>
              <w:spacing w:after="0" w:line="240" w:lineRule="auto"/>
              <w:rPr>
                <w:rFonts w:ascii="Arial" w:eastAsia="Times New Roman" w:hAnsi="Arial" w:cs="Arial"/>
                <w:i/>
                <w:iCs/>
                <w:color w:val="000000"/>
                <w:lang w:eastAsia="en-GB"/>
              </w:rPr>
            </w:pPr>
            <w:r>
              <w:rPr>
                <w:rFonts w:ascii="Arial" w:eastAsia="Times New Roman" w:hAnsi="Arial" w:cs="Arial"/>
                <w:color w:val="000000"/>
                <w:lang w:eastAsia="en-GB"/>
              </w:rPr>
              <w:t>N/A</w:t>
            </w:r>
          </w:p>
        </w:tc>
        <w:tc>
          <w:tcPr>
            <w:tcW w:w="1001" w:type="pct"/>
            <w:noWrap/>
          </w:tcPr>
          <w:p w14:paraId="654CE075" w14:textId="6D7F9F03" w:rsidR="00CE048F" w:rsidRPr="007700F3" w:rsidRDefault="00CE048F" w:rsidP="00CE048F">
            <w:pPr>
              <w:spacing w:after="0" w:line="240" w:lineRule="auto"/>
              <w:rPr>
                <w:rFonts w:ascii="Arial" w:eastAsia="Times New Roman" w:hAnsi="Arial" w:cs="Arial"/>
                <w:color w:val="000000"/>
                <w:highlight w:val="yellow"/>
                <w:lang w:eastAsia="en-GB"/>
              </w:rPr>
            </w:pPr>
            <w:r w:rsidRPr="00154E42">
              <w:rPr>
                <w:rFonts w:ascii="Arial" w:eastAsia="Times New Roman" w:hAnsi="Arial" w:cs="Arial"/>
                <w:i/>
                <w:iCs/>
                <w:color w:val="000000"/>
                <w:lang w:eastAsia="en-GB"/>
              </w:rPr>
              <w:t>By</w:t>
            </w:r>
            <w:r w:rsidR="002E437C">
              <w:rPr>
                <w:rFonts w:ascii="Arial" w:eastAsia="Times New Roman" w:hAnsi="Arial" w:cs="Arial"/>
                <w:i/>
                <w:iCs/>
                <w:color w:val="000000"/>
                <w:lang w:eastAsia="en-GB"/>
              </w:rPr>
              <w:t xml:space="preserve"> one </w:t>
            </w:r>
            <w:r w:rsidRPr="00154E42">
              <w:rPr>
                <w:rFonts w:ascii="Arial" w:eastAsia="Times New Roman" w:hAnsi="Arial" w:cs="Arial"/>
                <w:i/>
                <w:iCs/>
                <w:color w:val="000000"/>
                <w:lang w:eastAsia="en-GB"/>
              </w:rPr>
              <w:t>month from start of Grant Period</w:t>
            </w:r>
          </w:p>
        </w:tc>
        <w:tc>
          <w:tcPr>
            <w:tcW w:w="986" w:type="pct"/>
            <w:noWrap/>
          </w:tcPr>
          <w:p w14:paraId="66428F69" w14:textId="07B43EC2" w:rsidR="00CE048F" w:rsidRPr="007700F3" w:rsidRDefault="00CE048F" w:rsidP="00CE048F">
            <w:pPr>
              <w:spacing w:after="0" w:line="240" w:lineRule="auto"/>
              <w:rPr>
                <w:rFonts w:ascii="Arial" w:eastAsia="Times New Roman" w:hAnsi="Arial" w:cs="Arial"/>
                <w:color w:val="000000"/>
                <w:highlight w:val="yellow"/>
                <w:lang w:eastAsia="en-GB"/>
              </w:rPr>
            </w:pPr>
            <w:r w:rsidRPr="00C97EC3">
              <w:rPr>
                <w:rFonts w:ascii="Arial" w:eastAsia="Times New Roman" w:hAnsi="Arial" w:cs="Arial"/>
                <w:color w:val="000000"/>
                <w:lang w:eastAsia="en-GB"/>
              </w:rPr>
              <w:t>N/A</w:t>
            </w:r>
          </w:p>
        </w:tc>
        <w:tc>
          <w:tcPr>
            <w:tcW w:w="2467" w:type="pct"/>
            <w:noWrap/>
          </w:tcPr>
          <w:p w14:paraId="22849294" w14:textId="2D015656" w:rsidR="00CE048F" w:rsidRDefault="00CE048F" w:rsidP="00CE048F">
            <w:pPr>
              <w:spacing w:after="0" w:line="280" w:lineRule="exact"/>
              <w:rPr>
                <w:rFonts w:ascii="Arial" w:eastAsia="SimSun" w:hAnsi="Arial" w:cs="Arial"/>
                <w:lang w:val="en-US" w:eastAsia="zh-CN"/>
              </w:rPr>
            </w:pPr>
            <w:r>
              <w:rPr>
                <w:rFonts w:ascii="Arial" w:eastAsia="SimSun" w:hAnsi="Arial" w:cs="Arial"/>
                <w:lang w:val="en-US" w:eastAsia="zh-CN"/>
              </w:rPr>
              <w:t xml:space="preserve">Lead Partner to provide THET with a finalised project monitoring and </w:t>
            </w:r>
            <w:r w:rsidR="00FA1647">
              <w:rPr>
                <w:rFonts w:ascii="Arial" w:eastAsia="SimSun" w:hAnsi="Arial" w:cs="Arial"/>
                <w:lang w:val="en-US" w:eastAsia="zh-CN"/>
              </w:rPr>
              <w:t xml:space="preserve">evaluation </w:t>
            </w:r>
            <w:r>
              <w:rPr>
                <w:rFonts w:ascii="Arial" w:eastAsia="SimSun" w:hAnsi="Arial" w:cs="Arial"/>
                <w:lang w:val="en-US" w:eastAsia="zh-CN"/>
              </w:rPr>
              <w:t xml:space="preserve">plan in accordance with paragraph </w:t>
            </w:r>
            <w:r>
              <w:rPr>
                <w:rFonts w:ascii="Arial" w:eastAsia="SimSun" w:hAnsi="Arial" w:cs="Arial"/>
                <w:lang w:val="en-US" w:eastAsia="zh-CN"/>
              </w:rPr>
              <w:fldChar w:fldCharType="begin"/>
            </w:r>
            <w:r>
              <w:rPr>
                <w:rFonts w:ascii="Arial" w:eastAsia="SimSun" w:hAnsi="Arial" w:cs="Arial"/>
                <w:lang w:val="en-US" w:eastAsia="zh-CN"/>
              </w:rPr>
              <w:instrText xml:space="preserve"> REF _Ref127456484 \r \h  \* MERGEFORMAT </w:instrText>
            </w:r>
            <w:r>
              <w:rPr>
                <w:rFonts w:ascii="Arial" w:eastAsia="SimSun" w:hAnsi="Arial" w:cs="Arial"/>
                <w:lang w:val="en-US" w:eastAsia="zh-CN"/>
              </w:rPr>
            </w:r>
            <w:r>
              <w:rPr>
                <w:rFonts w:ascii="Arial" w:eastAsia="SimSun" w:hAnsi="Arial" w:cs="Arial"/>
                <w:lang w:val="en-US" w:eastAsia="zh-CN"/>
              </w:rPr>
              <w:fldChar w:fldCharType="separate"/>
            </w:r>
            <w:r w:rsidR="006B5F2E">
              <w:rPr>
                <w:rFonts w:ascii="Arial" w:eastAsia="SimSun" w:hAnsi="Arial" w:cs="Arial"/>
                <w:lang w:val="en-US" w:eastAsia="zh-CN"/>
              </w:rPr>
              <w:t>6.2</w:t>
            </w:r>
            <w:r>
              <w:rPr>
                <w:rFonts w:ascii="Arial" w:eastAsia="SimSun" w:hAnsi="Arial" w:cs="Arial"/>
                <w:lang w:val="en-US" w:eastAsia="zh-CN"/>
              </w:rPr>
              <w:fldChar w:fldCharType="end"/>
            </w:r>
            <w:r>
              <w:rPr>
                <w:rFonts w:ascii="Arial" w:eastAsia="SimSun" w:hAnsi="Arial" w:cs="Arial"/>
                <w:lang w:val="en-US" w:eastAsia="zh-CN"/>
              </w:rPr>
              <w:t xml:space="preserve"> (Monitoring and Reporting) </w:t>
            </w:r>
            <w:r w:rsidR="00C87F51">
              <w:rPr>
                <w:rFonts w:ascii="Arial" w:eastAsia="SimSun" w:hAnsi="Arial" w:cs="Arial"/>
                <w:lang w:val="en-US" w:eastAsia="zh-CN"/>
              </w:rPr>
              <w:t>and budget</w:t>
            </w:r>
          </w:p>
        </w:tc>
      </w:tr>
      <w:tr w:rsidR="00DE6628" w:rsidRPr="00B20EF8" w14:paraId="202B9BC5" w14:textId="77777777" w:rsidTr="00DE6628">
        <w:trPr>
          <w:trHeight w:val="825"/>
        </w:trPr>
        <w:tc>
          <w:tcPr>
            <w:tcW w:w="546" w:type="pct"/>
            <w:noWrap/>
          </w:tcPr>
          <w:p w14:paraId="2E2EC3A4" w14:textId="0C8BA46C" w:rsidR="00C031FC" w:rsidRPr="007700F3" w:rsidRDefault="00C031FC" w:rsidP="00436741">
            <w:pPr>
              <w:spacing w:after="0" w:line="240" w:lineRule="auto"/>
              <w:rPr>
                <w:rFonts w:ascii="Arial" w:eastAsia="Times New Roman" w:hAnsi="Arial" w:cs="Arial"/>
                <w:color w:val="000000"/>
                <w:highlight w:val="yellow"/>
                <w:lang w:eastAsia="en-GB"/>
              </w:rPr>
            </w:pPr>
            <w:r>
              <w:rPr>
                <w:rFonts w:ascii="Arial" w:eastAsia="Times New Roman" w:hAnsi="Arial" w:cs="Arial"/>
                <w:color w:val="000000"/>
                <w:lang w:eastAsia="en-GB"/>
              </w:rPr>
              <w:t>N/A</w:t>
            </w:r>
          </w:p>
        </w:tc>
        <w:tc>
          <w:tcPr>
            <w:tcW w:w="1001" w:type="pct"/>
            <w:noWrap/>
          </w:tcPr>
          <w:p w14:paraId="531433B5" w14:textId="54041D6A" w:rsidR="00C031FC" w:rsidRPr="007700F3" w:rsidRDefault="00C031FC" w:rsidP="00436741">
            <w:pPr>
              <w:spacing w:after="0" w:line="240" w:lineRule="auto"/>
              <w:rPr>
                <w:rFonts w:ascii="Arial" w:eastAsia="Times New Roman" w:hAnsi="Arial" w:cs="Arial"/>
                <w:color w:val="000000"/>
                <w:highlight w:val="yellow"/>
                <w:lang w:eastAsia="en-GB"/>
              </w:rPr>
            </w:pPr>
            <w:r w:rsidRPr="00154E42">
              <w:rPr>
                <w:rFonts w:ascii="Arial" w:eastAsia="Times New Roman" w:hAnsi="Arial" w:cs="Arial"/>
                <w:i/>
                <w:iCs/>
                <w:color w:val="000000"/>
                <w:lang w:eastAsia="en-GB"/>
              </w:rPr>
              <w:t xml:space="preserve">By </w:t>
            </w:r>
            <w:r w:rsidR="00C87F51">
              <w:rPr>
                <w:rFonts w:ascii="Arial" w:eastAsia="Times New Roman" w:hAnsi="Arial" w:cs="Arial"/>
                <w:i/>
                <w:iCs/>
                <w:color w:val="000000"/>
                <w:lang w:eastAsia="en-GB"/>
              </w:rPr>
              <w:t>three</w:t>
            </w:r>
            <w:r w:rsidR="00C87F51" w:rsidRPr="00154E42">
              <w:rPr>
                <w:rFonts w:ascii="Arial" w:eastAsia="Times New Roman" w:hAnsi="Arial" w:cs="Arial"/>
                <w:i/>
                <w:iCs/>
                <w:color w:val="000000"/>
                <w:lang w:eastAsia="en-GB"/>
              </w:rPr>
              <w:t xml:space="preserve"> </w:t>
            </w:r>
            <w:r w:rsidRPr="00154E42">
              <w:rPr>
                <w:rFonts w:ascii="Arial" w:eastAsia="Times New Roman" w:hAnsi="Arial" w:cs="Arial"/>
                <w:i/>
                <w:iCs/>
                <w:color w:val="000000"/>
                <w:lang w:eastAsia="en-GB"/>
              </w:rPr>
              <w:t>months from start of Grant Period</w:t>
            </w:r>
          </w:p>
        </w:tc>
        <w:tc>
          <w:tcPr>
            <w:tcW w:w="986" w:type="pct"/>
            <w:noWrap/>
          </w:tcPr>
          <w:p w14:paraId="1AC00645" w14:textId="272445BF" w:rsidR="00C031FC" w:rsidRPr="007700F3" w:rsidRDefault="00C031FC" w:rsidP="00436741">
            <w:pPr>
              <w:spacing w:after="0" w:line="240" w:lineRule="auto"/>
              <w:rPr>
                <w:rFonts w:ascii="Arial" w:eastAsia="Times New Roman" w:hAnsi="Arial" w:cs="Arial"/>
                <w:color w:val="000000"/>
                <w:highlight w:val="yellow"/>
                <w:lang w:eastAsia="en-GB"/>
              </w:rPr>
            </w:pPr>
            <w:r>
              <w:rPr>
                <w:rFonts w:ascii="Arial" w:eastAsia="SimSun" w:hAnsi="Arial" w:cs="Arial"/>
                <w:lang w:val="en-US" w:eastAsia="zh-CN"/>
              </w:rPr>
              <w:t>N/A</w:t>
            </w:r>
          </w:p>
        </w:tc>
        <w:tc>
          <w:tcPr>
            <w:tcW w:w="2467" w:type="pct"/>
            <w:noWrap/>
          </w:tcPr>
          <w:p w14:paraId="53BD4C79" w14:textId="35A32669" w:rsidR="00C031FC" w:rsidRPr="007700F3" w:rsidRDefault="00C031FC" w:rsidP="00436741">
            <w:pPr>
              <w:spacing w:after="0" w:line="280" w:lineRule="exact"/>
              <w:rPr>
                <w:rFonts w:ascii="Arial" w:eastAsia="Times New Roman" w:hAnsi="Arial" w:cs="Arial"/>
                <w:color w:val="000000"/>
                <w:highlight w:val="yellow"/>
                <w:lang w:eastAsia="en-GB"/>
              </w:rPr>
            </w:pPr>
            <w:r>
              <w:rPr>
                <w:rFonts w:ascii="Arial" w:eastAsia="SimSun" w:hAnsi="Arial" w:cs="Arial"/>
                <w:lang w:val="en-US" w:eastAsia="zh-CN"/>
              </w:rPr>
              <w:t xml:space="preserve">Lead Partner to provide THET with a Delivery Chain Map in accordance with paragraph </w:t>
            </w:r>
            <w:r>
              <w:rPr>
                <w:rFonts w:ascii="Arial" w:eastAsia="SimSun" w:hAnsi="Arial" w:cs="Arial"/>
                <w:lang w:val="en-US" w:eastAsia="zh-CN"/>
              </w:rPr>
              <w:fldChar w:fldCharType="begin"/>
            </w:r>
            <w:r>
              <w:rPr>
                <w:rFonts w:ascii="Arial" w:eastAsia="SimSun" w:hAnsi="Arial" w:cs="Arial"/>
                <w:lang w:val="en-US" w:eastAsia="zh-CN"/>
              </w:rPr>
              <w:instrText xml:space="preserve"> REF _Ref127533867 \r \h  \* MERGEFORMAT </w:instrText>
            </w:r>
            <w:r>
              <w:rPr>
                <w:rFonts w:ascii="Arial" w:eastAsia="SimSun" w:hAnsi="Arial" w:cs="Arial"/>
                <w:lang w:val="en-US" w:eastAsia="zh-CN"/>
              </w:rPr>
            </w:r>
            <w:r>
              <w:rPr>
                <w:rFonts w:ascii="Arial" w:eastAsia="SimSun" w:hAnsi="Arial" w:cs="Arial"/>
                <w:lang w:val="en-US" w:eastAsia="zh-CN"/>
              </w:rPr>
              <w:fldChar w:fldCharType="separate"/>
            </w:r>
            <w:r w:rsidR="006B5F2E">
              <w:rPr>
                <w:rFonts w:ascii="Arial" w:eastAsia="SimSun" w:hAnsi="Arial" w:cs="Arial"/>
                <w:lang w:val="en-US" w:eastAsia="zh-CN"/>
              </w:rPr>
              <w:t>6.4.2</w:t>
            </w:r>
            <w:r>
              <w:rPr>
                <w:rFonts w:ascii="Arial" w:eastAsia="SimSun" w:hAnsi="Arial" w:cs="Arial"/>
                <w:lang w:val="en-US" w:eastAsia="zh-CN"/>
              </w:rPr>
              <w:fldChar w:fldCharType="end"/>
            </w:r>
            <w:r>
              <w:rPr>
                <w:rFonts w:ascii="Arial" w:eastAsia="SimSun" w:hAnsi="Arial" w:cs="Arial"/>
                <w:lang w:val="en-US" w:eastAsia="zh-CN"/>
              </w:rPr>
              <w:t xml:space="preserve"> (Monitoring and Reporting)</w:t>
            </w:r>
          </w:p>
        </w:tc>
      </w:tr>
      <w:tr w:rsidR="00D10C33" w:rsidRPr="00B20EF8" w14:paraId="5EC9A9F3" w14:textId="77777777" w:rsidTr="00C97EC3">
        <w:trPr>
          <w:trHeight w:val="842"/>
        </w:trPr>
        <w:tc>
          <w:tcPr>
            <w:tcW w:w="546" w:type="pct"/>
            <w:noWrap/>
          </w:tcPr>
          <w:p w14:paraId="38B4E3AA" w14:textId="7957CD17" w:rsidR="00D10C33" w:rsidRDefault="00D10C33" w:rsidP="00D10C3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February – July 2024</w:t>
            </w:r>
          </w:p>
        </w:tc>
        <w:tc>
          <w:tcPr>
            <w:tcW w:w="1001" w:type="pct"/>
            <w:noWrap/>
          </w:tcPr>
          <w:p w14:paraId="0E8EB95E" w14:textId="2EC207E9" w:rsidR="00D10C33" w:rsidRDefault="00D10C33" w:rsidP="00D10C3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15</w:t>
            </w:r>
            <w:r w:rsidRPr="00140CAA">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August 2024</w:t>
            </w:r>
          </w:p>
        </w:tc>
        <w:tc>
          <w:tcPr>
            <w:tcW w:w="986" w:type="pct"/>
            <w:noWrap/>
          </w:tcPr>
          <w:p w14:paraId="1469FF00" w14:textId="366721F5" w:rsidR="00D10C33" w:rsidRPr="007700F3" w:rsidRDefault="00D10C33" w:rsidP="00D10C33">
            <w:pPr>
              <w:spacing w:after="0" w:line="240" w:lineRule="auto"/>
              <w:rPr>
                <w:rFonts w:ascii="Arial" w:eastAsia="Times New Roman" w:hAnsi="Arial" w:cs="Arial"/>
                <w:color w:val="000000"/>
                <w:highlight w:val="yellow"/>
                <w:lang w:eastAsia="en-GB"/>
              </w:rPr>
            </w:pPr>
            <w:r w:rsidRPr="007700F3">
              <w:rPr>
                <w:rFonts w:ascii="Arial" w:eastAsia="Times New Roman" w:hAnsi="Arial" w:cs="Arial"/>
                <w:color w:val="000000"/>
                <w:highlight w:val="yellow"/>
                <w:lang w:eastAsia="en-GB"/>
              </w:rPr>
              <w:t>[●]</w:t>
            </w:r>
          </w:p>
        </w:tc>
        <w:tc>
          <w:tcPr>
            <w:tcW w:w="2467" w:type="pct"/>
            <w:noWrap/>
          </w:tcPr>
          <w:p w14:paraId="03B05953" w14:textId="145CE3B6" w:rsidR="00D10C33" w:rsidRDefault="00D10C33" w:rsidP="00D10C33">
            <w:pPr>
              <w:spacing w:after="0" w:line="280" w:lineRule="exact"/>
              <w:rPr>
                <w:rFonts w:ascii="Arial" w:eastAsia="SimSun" w:hAnsi="Arial" w:cs="Arial"/>
                <w:lang w:val="en-US" w:eastAsia="zh-CN"/>
              </w:rPr>
            </w:pPr>
            <w:r>
              <w:rPr>
                <w:rFonts w:ascii="Arial" w:eastAsia="SimSun" w:hAnsi="Arial" w:cs="Arial"/>
                <w:lang w:val="en-US" w:eastAsia="zh-CN"/>
              </w:rPr>
              <w:t>T</w:t>
            </w:r>
            <w:r w:rsidRPr="00757EF3">
              <w:rPr>
                <w:rFonts w:ascii="Arial" w:eastAsia="SimSun" w:hAnsi="Arial" w:cs="Arial"/>
                <w:lang w:val="en-US" w:eastAsia="zh-CN"/>
              </w:rPr>
              <w:t xml:space="preserve">he </w:t>
            </w:r>
            <w:r>
              <w:rPr>
                <w:rFonts w:ascii="Arial" w:eastAsia="SimSun" w:hAnsi="Arial" w:cs="Arial"/>
                <w:lang w:val="en-US" w:eastAsia="zh-CN"/>
              </w:rPr>
              <w:t>Lead Partner</w:t>
            </w:r>
            <w:r w:rsidRPr="00757EF3">
              <w:rPr>
                <w:rFonts w:ascii="Arial" w:eastAsia="SimSun" w:hAnsi="Arial" w:cs="Arial"/>
                <w:lang w:val="en-US" w:eastAsia="zh-CN"/>
              </w:rPr>
              <w:t xml:space="preserve"> </w:t>
            </w:r>
            <w:r>
              <w:rPr>
                <w:rFonts w:ascii="Arial" w:eastAsia="SimSun" w:hAnsi="Arial" w:cs="Arial"/>
                <w:lang w:val="en-US" w:eastAsia="zh-CN"/>
              </w:rPr>
              <w:t xml:space="preserve">shall, in accordance with paragraphs </w:t>
            </w:r>
            <w:r>
              <w:rPr>
                <w:rFonts w:ascii="Arial" w:eastAsia="SimSun" w:hAnsi="Arial" w:cs="Arial"/>
                <w:lang w:val="en-US" w:eastAsia="zh-CN"/>
              </w:rPr>
              <w:fldChar w:fldCharType="begin"/>
            </w:r>
            <w:r>
              <w:rPr>
                <w:rFonts w:ascii="Arial" w:eastAsia="SimSun" w:hAnsi="Arial" w:cs="Arial"/>
                <w:lang w:val="en-US" w:eastAsia="zh-CN"/>
              </w:rPr>
              <w:instrText xml:space="preserve"> REF _Ref127794053 \r \h  \* MERGEFORMAT </w:instrText>
            </w:r>
            <w:r>
              <w:rPr>
                <w:rFonts w:ascii="Arial" w:eastAsia="SimSun" w:hAnsi="Arial" w:cs="Arial"/>
                <w:lang w:val="en-US" w:eastAsia="zh-CN"/>
              </w:rPr>
            </w:r>
            <w:r>
              <w:rPr>
                <w:rFonts w:ascii="Arial" w:eastAsia="SimSun" w:hAnsi="Arial" w:cs="Arial"/>
                <w:lang w:val="en-US" w:eastAsia="zh-CN"/>
              </w:rPr>
              <w:fldChar w:fldCharType="separate"/>
            </w:r>
            <w:r>
              <w:rPr>
                <w:rFonts w:ascii="Arial" w:eastAsia="SimSun" w:hAnsi="Arial" w:cs="Arial"/>
                <w:lang w:val="en-US" w:eastAsia="zh-CN"/>
              </w:rPr>
              <w:t>5.4</w:t>
            </w:r>
            <w:r>
              <w:rPr>
                <w:rFonts w:ascii="Arial" w:eastAsia="SimSun" w:hAnsi="Arial" w:cs="Arial"/>
                <w:lang w:val="en-US" w:eastAsia="zh-CN"/>
              </w:rPr>
              <w:fldChar w:fldCharType="end"/>
            </w:r>
            <w:r>
              <w:rPr>
                <w:rFonts w:ascii="Arial" w:eastAsia="SimSun" w:hAnsi="Arial" w:cs="Arial"/>
                <w:lang w:val="en-US" w:eastAsia="zh-CN"/>
              </w:rPr>
              <w:t xml:space="preserve"> (Accounts, Records, Assets Inventory and Audit) and </w:t>
            </w:r>
            <w:r>
              <w:rPr>
                <w:rFonts w:ascii="Arial" w:eastAsia="SimSun" w:hAnsi="Arial" w:cs="Arial"/>
                <w:lang w:val="en-US" w:eastAsia="zh-CN"/>
              </w:rPr>
              <w:fldChar w:fldCharType="begin"/>
            </w:r>
            <w:r>
              <w:rPr>
                <w:rFonts w:ascii="Arial" w:eastAsia="SimSun" w:hAnsi="Arial" w:cs="Arial"/>
                <w:lang w:val="en-US" w:eastAsia="zh-CN"/>
              </w:rPr>
              <w:instrText xml:space="preserve"> REF _Ref127794070 \r \h  \* MERGEFORMAT </w:instrText>
            </w:r>
            <w:r>
              <w:rPr>
                <w:rFonts w:ascii="Arial" w:eastAsia="SimSun" w:hAnsi="Arial" w:cs="Arial"/>
                <w:lang w:val="en-US" w:eastAsia="zh-CN"/>
              </w:rPr>
            </w:r>
            <w:r>
              <w:rPr>
                <w:rFonts w:ascii="Arial" w:eastAsia="SimSun" w:hAnsi="Arial" w:cs="Arial"/>
                <w:lang w:val="en-US" w:eastAsia="zh-CN"/>
              </w:rPr>
              <w:fldChar w:fldCharType="separate"/>
            </w:r>
            <w:r>
              <w:rPr>
                <w:rFonts w:ascii="Arial" w:eastAsia="SimSun" w:hAnsi="Arial" w:cs="Arial"/>
                <w:lang w:val="en-US" w:eastAsia="zh-CN"/>
              </w:rPr>
              <w:t>6.4</w:t>
            </w:r>
            <w:r>
              <w:rPr>
                <w:rFonts w:ascii="Arial" w:eastAsia="SimSun" w:hAnsi="Arial" w:cs="Arial"/>
                <w:lang w:val="en-US" w:eastAsia="zh-CN"/>
              </w:rPr>
              <w:fldChar w:fldCharType="end"/>
            </w:r>
            <w:r>
              <w:rPr>
                <w:rFonts w:ascii="Arial" w:eastAsia="SimSun" w:hAnsi="Arial" w:cs="Arial"/>
                <w:lang w:val="en-US" w:eastAsia="zh-CN"/>
              </w:rPr>
              <w:t xml:space="preserve"> (Monitoring and Reporting), provide THET with a </w:t>
            </w:r>
            <w:r w:rsidR="0085409A">
              <w:rPr>
                <w:rFonts w:ascii="Arial" w:eastAsia="SimSun" w:hAnsi="Arial" w:cs="Arial"/>
                <w:lang w:val="en-US" w:eastAsia="zh-CN"/>
              </w:rPr>
              <w:t>six</w:t>
            </w:r>
            <w:r>
              <w:rPr>
                <w:rFonts w:ascii="Arial" w:eastAsia="SimSun" w:hAnsi="Arial" w:cs="Arial"/>
                <w:lang w:val="en-US" w:eastAsia="zh-CN"/>
              </w:rPr>
              <w:t xml:space="preserve"> monthly</w:t>
            </w:r>
            <w:r w:rsidRPr="00757EF3">
              <w:rPr>
                <w:rFonts w:ascii="Arial" w:eastAsia="SimSun" w:hAnsi="Arial" w:cs="Arial"/>
                <w:lang w:val="en-US" w:eastAsia="zh-CN"/>
              </w:rPr>
              <w:t>:</w:t>
            </w:r>
          </w:p>
          <w:p w14:paraId="1F5F715D" w14:textId="77777777" w:rsidR="00D10C33" w:rsidRDefault="00D10C33" w:rsidP="00D10C33">
            <w:pPr>
              <w:pStyle w:val="ListParagraph"/>
              <w:numPr>
                <w:ilvl w:val="0"/>
                <w:numId w:val="131"/>
              </w:numPr>
              <w:spacing w:line="280" w:lineRule="exact"/>
              <w:rPr>
                <w:rFonts w:ascii="Arial" w:eastAsia="SimSun" w:hAnsi="Arial" w:cs="Arial"/>
                <w:lang w:val="en-US" w:eastAsia="zh-CN"/>
              </w:rPr>
            </w:pPr>
            <w:r>
              <w:rPr>
                <w:rFonts w:ascii="Arial" w:eastAsia="SimSun" w:hAnsi="Arial" w:cs="Arial"/>
                <w:lang w:val="en-US" w:eastAsia="zh-CN"/>
              </w:rPr>
              <w:t>Financial Report; and</w:t>
            </w:r>
          </w:p>
          <w:p w14:paraId="2B8CB6B5" w14:textId="77777777" w:rsidR="00D10C33" w:rsidRDefault="00D10C33" w:rsidP="00D10C33">
            <w:pPr>
              <w:pStyle w:val="ListParagraph"/>
              <w:numPr>
                <w:ilvl w:val="0"/>
                <w:numId w:val="131"/>
              </w:numPr>
              <w:spacing w:line="280" w:lineRule="exact"/>
              <w:rPr>
                <w:rFonts w:ascii="Arial" w:eastAsia="SimSun" w:hAnsi="Arial" w:cs="Arial"/>
                <w:lang w:val="en-US" w:eastAsia="zh-CN"/>
              </w:rPr>
            </w:pPr>
            <w:r>
              <w:rPr>
                <w:rFonts w:ascii="Arial" w:eastAsia="SimSun" w:hAnsi="Arial" w:cs="Arial"/>
                <w:lang w:val="en-US" w:eastAsia="zh-CN"/>
              </w:rPr>
              <w:t>N</w:t>
            </w:r>
            <w:r w:rsidRPr="00603418">
              <w:rPr>
                <w:rFonts w:ascii="Arial" w:eastAsia="SimSun" w:hAnsi="Arial" w:cs="Arial"/>
                <w:lang w:val="en-US" w:eastAsia="zh-CN"/>
              </w:rPr>
              <w:t xml:space="preserve">arrative </w:t>
            </w:r>
            <w:r>
              <w:rPr>
                <w:rFonts w:ascii="Arial" w:eastAsia="SimSun" w:hAnsi="Arial" w:cs="Arial"/>
                <w:lang w:val="en-US" w:eastAsia="zh-CN"/>
              </w:rPr>
              <w:t>Operational R</w:t>
            </w:r>
            <w:r w:rsidRPr="00603418">
              <w:rPr>
                <w:rFonts w:ascii="Arial" w:eastAsia="SimSun" w:hAnsi="Arial" w:cs="Arial"/>
                <w:lang w:val="en-US" w:eastAsia="zh-CN"/>
              </w:rPr>
              <w:t>eport</w:t>
            </w:r>
            <w:r>
              <w:rPr>
                <w:rFonts w:ascii="Arial" w:eastAsia="SimSun" w:hAnsi="Arial" w:cs="Arial"/>
                <w:lang w:val="en-US" w:eastAsia="zh-CN"/>
              </w:rPr>
              <w:t>.</w:t>
            </w:r>
          </w:p>
          <w:p w14:paraId="504A00E4" w14:textId="77777777" w:rsidR="00D10C33" w:rsidRPr="005F21EA" w:rsidRDefault="00D10C33" w:rsidP="00D10C33">
            <w:pPr>
              <w:pStyle w:val="ListParagraph"/>
              <w:spacing w:line="280" w:lineRule="exact"/>
              <w:rPr>
                <w:rFonts w:ascii="Arial" w:eastAsia="SimSun" w:hAnsi="Arial" w:cs="Arial"/>
                <w:lang w:val="en-US" w:eastAsia="zh-CN"/>
              </w:rPr>
            </w:pPr>
          </w:p>
          <w:p w14:paraId="4210FB14" w14:textId="77777777" w:rsidR="00D10C33" w:rsidRPr="00757EF3" w:rsidRDefault="00D10C33" w:rsidP="00D10C33">
            <w:pPr>
              <w:spacing w:after="0" w:line="280" w:lineRule="exact"/>
              <w:rPr>
                <w:rFonts w:ascii="Arial" w:eastAsia="SimSun" w:hAnsi="Arial" w:cs="Arial"/>
                <w:i/>
                <w:lang w:val="en-US" w:eastAsia="zh-CN"/>
              </w:rPr>
            </w:pPr>
            <w:r>
              <w:rPr>
                <w:rFonts w:ascii="Arial" w:eastAsia="SimSun" w:hAnsi="Arial" w:cs="Arial"/>
                <w:i/>
                <w:lang w:val="en-US" w:eastAsia="zh-CN"/>
              </w:rPr>
              <w:t>Ongoing p</w:t>
            </w:r>
            <w:r w:rsidRPr="00757EF3">
              <w:rPr>
                <w:rFonts w:ascii="Arial" w:eastAsia="SimSun" w:hAnsi="Arial" w:cs="Arial"/>
                <w:i/>
                <w:lang w:val="en-US" w:eastAsia="zh-CN"/>
              </w:rPr>
              <w:t xml:space="preserve">ayment conditional upon submission of </w:t>
            </w:r>
            <w:r>
              <w:rPr>
                <w:rFonts w:ascii="Arial" w:eastAsia="SimSun" w:hAnsi="Arial" w:cs="Arial"/>
                <w:i/>
                <w:lang w:val="en-US" w:eastAsia="zh-CN"/>
              </w:rPr>
              <w:t xml:space="preserve">above documentation, satisfactory </w:t>
            </w:r>
            <w:r w:rsidRPr="00757EF3">
              <w:rPr>
                <w:rFonts w:ascii="Arial" w:eastAsia="SimSun" w:hAnsi="Arial" w:cs="Arial"/>
                <w:i/>
                <w:lang w:val="en-US" w:eastAsia="zh-CN"/>
              </w:rPr>
              <w:t>completion of any questions for clarifications</w:t>
            </w:r>
            <w:r>
              <w:rPr>
                <w:rFonts w:ascii="Arial" w:eastAsia="SimSun" w:hAnsi="Arial" w:cs="Arial"/>
                <w:i/>
                <w:lang w:val="en-US" w:eastAsia="zh-CN"/>
              </w:rPr>
              <w:t xml:space="preserve">, and spot check of receipts (in each case in THET’s sole discretion). </w:t>
            </w:r>
            <w:r w:rsidRPr="00757EF3">
              <w:rPr>
                <w:rFonts w:ascii="Arial" w:eastAsia="SimSun" w:hAnsi="Arial" w:cs="Arial"/>
                <w:i/>
                <w:lang w:val="en-US" w:eastAsia="zh-CN"/>
              </w:rPr>
              <w:t xml:space="preserve"> </w:t>
            </w:r>
          </w:p>
          <w:p w14:paraId="41687127" w14:textId="5B987AEA" w:rsidR="00D10C33" w:rsidRDefault="00D10C33" w:rsidP="00D10C33">
            <w:pPr>
              <w:spacing w:after="0" w:line="280" w:lineRule="exact"/>
              <w:rPr>
                <w:rFonts w:ascii="Arial" w:eastAsia="SimSun" w:hAnsi="Arial" w:cs="Arial"/>
                <w:i/>
                <w:iCs/>
                <w:lang w:val="en-US" w:eastAsia="zh-CN"/>
              </w:rPr>
            </w:pPr>
          </w:p>
        </w:tc>
      </w:tr>
      <w:tr w:rsidR="00D10C33" w:rsidRPr="00B20EF8" w14:paraId="2E5BC599" w14:textId="77777777" w:rsidTr="00C97EC3">
        <w:trPr>
          <w:trHeight w:val="1556"/>
        </w:trPr>
        <w:tc>
          <w:tcPr>
            <w:tcW w:w="546" w:type="pct"/>
            <w:noWrap/>
          </w:tcPr>
          <w:p w14:paraId="1BBE6468" w14:textId="25DED1C9" w:rsidR="00D10C33" w:rsidDel="00AE3805" w:rsidRDefault="00D10C33" w:rsidP="00D10C3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August 2024 – January 2025</w:t>
            </w:r>
          </w:p>
        </w:tc>
        <w:tc>
          <w:tcPr>
            <w:tcW w:w="1001" w:type="pct"/>
            <w:noWrap/>
          </w:tcPr>
          <w:p w14:paraId="721EA01A" w14:textId="51671CA7" w:rsidR="00D10C33" w:rsidRDefault="0085409A" w:rsidP="00D10C3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17</w:t>
            </w:r>
            <w:r w:rsidRPr="0085409A">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w:t>
            </w:r>
            <w:r w:rsidR="00D10C33">
              <w:rPr>
                <w:rFonts w:ascii="Arial" w:eastAsia="Times New Roman" w:hAnsi="Arial" w:cs="Arial"/>
                <w:color w:val="000000"/>
                <w:lang w:eastAsia="en-GB"/>
              </w:rPr>
              <w:t>February 2025</w:t>
            </w:r>
          </w:p>
        </w:tc>
        <w:tc>
          <w:tcPr>
            <w:tcW w:w="986" w:type="pct"/>
            <w:noWrap/>
          </w:tcPr>
          <w:p w14:paraId="1BF0F9BD" w14:textId="67AA06FB" w:rsidR="00D10C33" w:rsidRPr="007700F3" w:rsidRDefault="00D10C33" w:rsidP="00D10C33">
            <w:pPr>
              <w:spacing w:after="0" w:line="240" w:lineRule="auto"/>
              <w:rPr>
                <w:rFonts w:ascii="Arial" w:eastAsia="Times New Roman" w:hAnsi="Arial" w:cs="Arial"/>
                <w:color w:val="000000"/>
                <w:highlight w:val="yellow"/>
                <w:lang w:eastAsia="en-GB"/>
              </w:rPr>
            </w:pPr>
            <w:r w:rsidRPr="007700F3">
              <w:rPr>
                <w:rFonts w:ascii="Arial" w:eastAsia="Times New Roman" w:hAnsi="Arial" w:cs="Arial"/>
                <w:color w:val="000000"/>
                <w:highlight w:val="yellow"/>
                <w:lang w:eastAsia="en-GB"/>
              </w:rPr>
              <w:t>[●]</w:t>
            </w:r>
          </w:p>
        </w:tc>
        <w:tc>
          <w:tcPr>
            <w:tcW w:w="2467" w:type="pct"/>
            <w:noWrap/>
          </w:tcPr>
          <w:p w14:paraId="489469E1" w14:textId="77777777" w:rsidR="00D10C33" w:rsidRDefault="00D10C33" w:rsidP="00D10C33">
            <w:pPr>
              <w:spacing w:after="0" w:line="280" w:lineRule="exact"/>
              <w:rPr>
                <w:rFonts w:ascii="Arial" w:eastAsia="Times New Roman" w:hAnsi="Arial" w:cs="Arial"/>
                <w:color w:val="000000"/>
                <w:lang w:eastAsia="en-GB"/>
              </w:rPr>
            </w:pPr>
            <w:r>
              <w:rPr>
                <w:rFonts w:ascii="Arial" w:eastAsia="Times New Roman" w:hAnsi="Arial" w:cs="Arial"/>
                <w:color w:val="000000"/>
                <w:lang w:eastAsia="en-GB"/>
              </w:rPr>
              <w:t xml:space="preserve">The Lead Partner must submit to THET: </w:t>
            </w:r>
          </w:p>
          <w:p w14:paraId="00AEA57F" w14:textId="77777777" w:rsidR="00D10C33" w:rsidRPr="005F21EA" w:rsidRDefault="00D10C33" w:rsidP="00D10C33">
            <w:pPr>
              <w:pStyle w:val="ListParagraph"/>
              <w:numPr>
                <w:ilvl w:val="0"/>
                <w:numId w:val="131"/>
              </w:numPr>
              <w:spacing w:line="280" w:lineRule="exact"/>
              <w:rPr>
                <w:rFonts w:ascii="Arial" w:eastAsia="SimSun" w:hAnsi="Arial" w:cs="Arial"/>
                <w:lang w:val="en-US" w:eastAsia="zh-CN"/>
              </w:rPr>
            </w:pPr>
            <w:r w:rsidRPr="005F21EA">
              <w:rPr>
                <w:rFonts w:ascii="Arial" w:eastAsia="SimSun" w:hAnsi="Arial" w:cs="Arial"/>
                <w:lang w:val="en-US" w:eastAsia="zh-CN"/>
              </w:rPr>
              <w:t xml:space="preserve">final </w:t>
            </w:r>
            <w:r>
              <w:rPr>
                <w:rFonts w:ascii="Arial" w:eastAsia="SimSun" w:hAnsi="Arial" w:cs="Arial"/>
                <w:lang w:val="en-US" w:eastAsia="zh-CN"/>
              </w:rPr>
              <w:t>N</w:t>
            </w:r>
            <w:r w:rsidRPr="005F21EA">
              <w:rPr>
                <w:rFonts w:ascii="Arial" w:eastAsia="SimSun" w:hAnsi="Arial" w:cs="Arial"/>
                <w:lang w:val="en-US" w:eastAsia="zh-CN"/>
              </w:rPr>
              <w:t xml:space="preserve">arrative </w:t>
            </w:r>
            <w:r>
              <w:rPr>
                <w:rFonts w:ascii="Arial" w:eastAsia="SimSun" w:hAnsi="Arial" w:cs="Arial"/>
                <w:lang w:val="en-US" w:eastAsia="zh-CN"/>
              </w:rPr>
              <w:t>Operational R</w:t>
            </w:r>
            <w:r w:rsidRPr="005F21EA">
              <w:rPr>
                <w:rFonts w:ascii="Arial" w:eastAsia="SimSun" w:hAnsi="Arial" w:cs="Arial"/>
                <w:lang w:val="en-US" w:eastAsia="zh-CN"/>
              </w:rPr>
              <w:t>eport;</w:t>
            </w:r>
          </w:p>
          <w:p w14:paraId="470FBAEC" w14:textId="77777777" w:rsidR="00D10C33" w:rsidRDefault="00D10C33" w:rsidP="00D10C33">
            <w:pPr>
              <w:pStyle w:val="ListParagraph"/>
              <w:numPr>
                <w:ilvl w:val="0"/>
                <w:numId w:val="131"/>
              </w:numPr>
              <w:spacing w:line="280" w:lineRule="exact"/>
              <w:rPr>
                <w:rFonts w:ascii="Arial" w:eastAsia="SimSun" w:hAnsi="Arial" w:cs="Arial"/>
                <w:lang w:val="en-US" w:eastAsia="zh-CN"/>
              </w:rPr>
            </w:pPr>
            <w:r w:rsidRPr="005F21EA">
              <w:rPr>
                <w:rFonts w:ascii="Arial" w:eastAsia="SimSun" w:hAnsi="Arial" w:cs="Arial"/>
                <w:lang w:val="en-US" w:eastAsia="zh-CN"/>
              </w:rPr>
              <w:t xml:space="preserve">final </w:t>
            </w:r>
            <w:r>
              <w:rPr>
                <w:rFonts w:ascii="Arial" w:eastAsia="SimSun" w:hAnsi="Arial" w:cs="Arial"/>
                <w:lang w:val="en-US" w:eastAsia="zh-CN"/>
              </w:rPr>
              <w:t>F</w:t>
            </w:r>
            <w:r w:rsidRPr="005F21EA">
              <w:rPr>
                <w:rFonts w:ascii="Arial" w:eastAsia="SimSun" w:hAnsi="Arial" w:cs="Arial"/>
                <w:lang w:val="en-US" w:eastAsia="zh-CN"/>
              </w:rPr>
              <w:t xml:space="preserve">inancial </w:t>
            </w:r>
            <w:r>
              <w:rPr>
                <w:rFonts w:ascii="Arial" w:eastAsia="SimSun" w:hAnsi="Arial" w:cs="Arial"/>
                <w:lang w:val="en-US" w:eastAsia="zh-CN"/>
              </w:rPr>
              <w:t>R</w:t>
            </w:r>
            <w:r w:rsidRPr="005F21EA">
              <w:rPr>
                <w:rFonts w:ascii="Arial" w:eastAsia="SimSun" w:hAnsi="Arial" w:cs="Arial"/>
                <w:lang w:val="en-US" w:eastAsia="zh-CN"/>
              </w:rPr>
              <w:t>eport;</w:t>
            </w:r>
          </w:p>
          <w:p w14:paraId="42E56249" w14:textId="58935BE2" w:rsidR="00D10C33" w:rsidRDefault="00D10C33" w:rsidP="00D10C33">
            <w:pPr>
              <w:pStyle w:val="ListParagraph"/>
              <w:numPr>
                <w:ilvl w:val="0"/>
                <w:numId w:val="131"/>
              </w:numPr>
              <w:spacing w:line="280" w:lineRule="exact"/>
              <w:rPr>
                <w:rFonts w:ascii="Arial" w:eastAsia="SimSun" w:hAnsi="Arial" w:cs="Arial"/>
                <w:lang w:val="en-US" w:eastAsia="zh-CN"/>
              </w:rPr>
            </w:pPr>
            <w:r>
              <w:rPr>
                <w:rFonts w:ascii="Arial" w:eastAsia="SimSun" w:hAnsi="Arial" w:cs="Arial"/>
                <w:lang w:val="en-US" w:eastAsia="zh-CN"/>
              </w:rPr>
              <w:t>Asset Register and Disposal Letter</w:t>
            </w:r>
          </w:p>
          <w:p w14:paraId="06A9778B" w14:textId="66C95E9F" w:rsidR="00D10C33" w:rsidRDefault="00D10C33" w:rsidP="00D10C33">
            <w:pPr>
              <w:spacing w:after="0" w:line="280" w:lineRule="exact"/>
              <w:rPr>
                <w:rFonts w:ascii="Arial" w:eastAsia="Times New Roman" w:hAnsi="Arial" w:cs="Arial"/>
                <w:color w:val="000000"/>
                <w:lang w:eastAsia="en-GB"/>
              </w:rPr>
            </w:pPr>
            <w:r>
              <w:rPr>
                <w:rFonts w:ascii="Arial" w:eastAsia="SimSun" w:hAnsi="Arial" w:cs="Arial"/>
                <w:lang w:val="en-US" w:eastAsia="zh-CN"/>
              </w:rPr>
              <w:t>in each case in a form satisfactory to THET.</w:t>
            </w:r>
          </w:p>
        </w:tc>
      </w:tr>
      <w:tr w:rsidR="00D10C33" w:rsidRPr="00B20EF8" w14:paraId="40CDB6FB" w14:textId="77777777" w:rsidTr="00DE6628">
        <w:trPr>
          <w:trHeight w:val="300"/>
        </w:trPr>
        <w:tc>
          <w:tcPr>
            <w:tcW w:w="546" w:type="pct"/>
            <w:noWrap/>
          </w:tcPr>
          <w:p w14:paraId="1FD5E173" w14:textId="77777777" w:rsidR="00D10C33" w:rsidRPr="00B20EF8" w:rsidRDefault="00D10C33" w:rsidP="00D10C33">
            <w:pPr>
              <w:spacing w:after="0" w:line="240" w:lineRule="auto"/>
              <w:rPr>
                <w:rFonts w:ascii="Arial" w:eastAsia="Times New Roman" w:hAnsi="Arial" w:cs="Arial"/>
                <w:color w:val="000000"/>
                <w:lang w:eastAsia="en-GB"/>
              </w:rPr>
            </w:pPr>
          </w:p>
        </w:tc>
        <w:tc>
          <w:tcPr>
            <w:tcW w:w="1001" w:type="pct"/>
            <w:noWrap/>
          </w:tcPr>
          <w:p w14:paraId="6B36C8F3" w14:textId="77777777" w:rsidR="00D10C33" w:rsidRPr="00B20EF8" w:rsidRDefault="00D10C33" w:rsidP="00D10C33">
            <w:pPr>
              <w:spacing w:after="0" w:line="240" w:lineRule="auto"/>
              <w:rPr>
                <w:rFonts w:ascii="Arial" w:eastAsia="Times New Roman" w:hAnsi="Arial" w:cs="Arial"/>
                <w:color w:val="000000"/>
                <w:lang w:eastAsia="en-GB"/>
              </w:rPr>
            </w:pPr>
            <w:r w:rsidRPr="00B20EF8">
              <w:rPr>
                <w:rFonts w:ascii="Arial" w:eastAsia="Times New Roman" w:hAnsi="Arial" w:cs="Arial"/>
                <w:color w:val="000000"/>
                <w:lang w:eastAsia="en-GB"/>
              </w:rPr>
              <w:t>Total</w:t>
            </w:r>
          </w:p>
        </w:tc>
        <w:tc>
          <w:tcPr>
            <w:tcW w:w="986" w:type="pct"/>
            <w:noWrap/>
          </w:tcPr>
          <w:p w14:paraId="25C5351C" w14:textId="4F16EC6A" w:rsidR="00D10C33" w:rsidRPr="00422163" w:rsidRDefault="00D10C33" w:rsidP="00D10C33">
            <w:pPr>
              <w:spacing w:after="0" w:line="240" w:lineRule="auto"/>
              <w:rPr>
                <w:rFonts w:ascii="Arial" w:eastAsia="Times New Roman" w:hAnsi="Arial" w:cs="Arial"/>
                <w:color w:val="000000"/>
                <w:highlight w:val="yellow"/>
                <w:lang w:eastAsia="en-GB"/>
              </w:rPr>
            </w:pPr>
            <w:r w:rsidRPr="00603418">
              <w:rPr>
                <w:rFonts w:ascii="Arial" w:eastAsia="Times New Roman" w:hAnsi="Arial" w:cs="Arial"/>
                <w:color w:val="000000"/>
                <w:lang w:eastAsia="en-GB"/>
              </w:rPr>
              <w:t>£</w:t>
            </w:r>
            <w:r>
              <w:rPr>
                <w:rFonts w:ascii="Arial" w:eastAsia="Times New Roman" w:hAnsi="Arial" w:cs="Arial"/>
                <w:color w:val="000000"/>
                <w:lang w:eastAsia="en-GB"/>
              </w:rPr>
              <w:t>[</w:t>
            </w:r>
            <w:r w:rsidRPr="00603418">
              <w:rPr>
                <w:rFonts w:ascii="Arial" w:eastAsia="Times New Roman" w:hAnsi="Arial" w:cs="Arial"/>
                <w:color w:val="000000"/>
                <w:highlight w:val="yellow"/>
                <w:lang w:eastAsia="en-GB"/>
              </w:rPr>
              <w:t>●</w:t>
            </w:r>
            <w:r>
              <w:rPr>
                <w:rFonts w:ascii="Arial" w:eastAsia="Times New Roman" w:hAnsi="Arial" w:cs="Arial"/>
                <w:color w:val="000000"/>
                <w:lang w:eastAsia="en-GB"/>
              </w:rPr>
              <w:t>]</w:t>
            </w:r>
          </w:p>
        </w:tc>
        <w:tc>
          <w:tcPr>
            <w:tcW w:w="2467" w:type="pct"/>
            <w:noWrap/>
          </w:tcPr>
          <w:p w14:paraId="19933E67" w14:textId="77777777" w:rsidR="00D10C33" w:rsidRPr="00B20EF8" w:rsidRDefault="00D10C33" w:rsidP="00D10C33">
            <w:pPr>
              <w:spacing w:after="0" w:line="240" w:lineRule="auto"/>
              <w:rPr>
                <w:rFonts w:ascii="Arial" w:eastAsia="Times New Roman" w:hAnsi="Arial" w:cs="Arial"/>
                <w:color w:val="000000"/>
                <w:lang w:eastAsia="en-GB"/>
              </w:rPr>
            </w:pPr>
          </w:p>
        </w:tc>
      </w:tr>
    </w:tbl>
    <w:p w14:paraId="35DF99D8" w14:textId="5E1DBEEC" w:rsidR="00F66222" w:rsidRPr="00245E7D" w:rsidRDefault="00F66222">
      <w:pPr>
        <w:spacing w:after="0" w:line="240" w:lineRule="auto"/>
        <w:rPr>
          <w:rFonts w:ascii="Arial" w:hAnsi="Arial" w:cs="Arial"/>
          <w:b/>
        </w:rPr>
      </w:pPr>
      <w:r w:rsidRPr="00245E7D">
        <w:rPr>
          <w:rFonts w:ascii="Arial" w:hAnsi="Arial" w:cs="Arial"/>
          <w:b/>
        </w:rPr>
        <w:br w:type="page"/>
      </w:r>
    </w:p>
    <w:p w14:paraId="3FEFA7E5" w14:textId="6207274E" w:rsidR="00F66222" w:rsidRPr="00245E7D" w:rsidRDefault="00F66222" w:rsidP="00730E8E">
      <w:pPr>
        <w:widowControl w:val="0"/>
        <w:autoSpaceDE w:val="0"/>
        <w:autoSpaceDN w:val="0"/>
        <w:adjustRightInd w:val="0"/>
        <w:spacing w:before="120" w:after="120" w:line="240" w:lineRule="auto"/>
        <w:jc w:val="center"/>
        <w:rPr>
          <w:rFonts w:ascii="Arial" w:hAnsi="Arial" w:cs="Arial"/>
          <w:b/>
        </w:rPr>
      </w:pPr>
      <w:r w:rsidRPr="00245E7D">
        <w:rPr>
          <w:rFonts w:ascii="Arial" w:hAnsi="Arial" w:cs="Arial"/>
          <w:b/>
        </w:rPr>
        <w:lastRenderedPageBreak/>
        <w:t>Annex 3:</w:t>
      </w:r>
    </w:p>
    <w:p w14:paraId="36323A34" w14:textId="3F8E7B66" w:rsidR="00F66222" w:rsidRPr="00245E7D" w:rsidRDefault="00C11027" w:rsidP="00730E8E">
      <w:pPr>
        <w:spacing w:line="240" w:lineRule="auto"/>
        <w:ind w:left="720" w:hanging="720"/>
        <w:jc w:val="center"/>
        <w:rPr>
          <w:rFonts w:ascii="Arial" w:hAnsi="Arial" w:cs="Arial"/>
          <w:b/>
        </w:rPr>
      </w:pPr>
      <w:r w:rsidRPr="00245E7D">
        <w:rPr>
          <w:rFonts w:ascii="Arial" w:hAnsi="Arial" w:cs="Arial"/>
          <w:b/>
        </w:rPr>
        <w:t xml:space="preserve"> Lead</w:t>
      </w:r>
      <w:r w:rsidR="00632356">
        <w:rPr>
          <w:rFonts w:ascii="Arial" w:hAnsi="Arial" w:cs="Arial"/>
          <w:b/>
        </w:rPr>
        <w:t xml:space="preserve"> Partner</w:t>
      </w:r>
      <w:r w:rsidRPr="00245E7D">
        <w:rPr>
          <w:rFonts w:ascii="Arial" w:hAnsi="Arial" w:cs="Arial"/>
          <w:b/>
        </w:rPr>
        <w:t xml:space="preserve"> bank details for grant payments</w:t>
      </w:r>
    </w:p>
    <w:p w14:paraId="51F4E807" w14:textId="5BD61172" w:rsidR="00C11027" w:rsidRPr="00245E7D" w:rsidRDefault="00C11027" w:rsidP="00730E8E">
      <w:pPr>
        <w:spacing w:line="240" w:lineRule="auto"/>
        <w:rPr>
          <w:rFonts w:ascii="Arial" w:hAnsi="Arial" w:cs="Arial"/>
          <w:lang w:val="en-US"/>
        </w:rPr>
      </w:pPr>
      <w:r w:rsidRPr="00245E7D">
        <w:rPr>
          <w:rFonts w:ascii="Arial" w:hAnsi="Arial" w:cs="Arial"/>
          <w:b/>
          <w:lang w:val="en-US"/>
        </w:rPr>
        <w:t xml:space="preserve">Grant ID and Lead </w:t>
      </w:r>
      <w:r w:rsidR="00632356">
        <w:rPr>
          <w:rFonts w:ascii="Arial" w:hAnsi="Arial" w:cs="Arial"/>
          <w:b/>
          <w:lang w:val="en-US"/>
        </w:rPr>
        <w:t xml:space="preserve">Partner </w:t>
      </w:r>
      <w:r w:rsidRPr="00245E7D">
        <w:rPr>
          <w:rFonts w:ascii="Arial" w:hAnsi="Arial" w:cs="Arial"/>
          <w:b/>
          <w:lang w:val="en-US"/>
        </w:rPr>
        <w:t>name:</w:t>
      </w:r>
      <w:r w:rsidRPr="00245E7D">
        <w:rPr>
          <w:rFonts w:ascii="Arial" w:hAnsi="Arial" w:cs="Arial"/>
          <w:lang w:val="en-US"/>
        </w:rPr>
        <w:t xml:space="preserve"> </w:t>
      </w:r>
      <w:r w:rsidR="00735ECE">
        <w:rPr>
          <w:rFonts w:ascii="Arial" w:hAnsi="Arial" w:cs="Arial"/>
        </w:rPr>
        <w:t>[</w:t>
      </w:r>
      <w:r w:rsidR="00735ECE" w:rsidRPr="007700F3">
        <w:rPr>
          <w:rFonts w:ascii="Arial" w:hAnsi="Arial" w:cs="Arial"/>
          <w:highlight w:val="yellow"/>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6891"/>
      </w:tblGrid>
      <w:tr w:rsidR="00C11027" w:rsidRPr="00245E7D" w14:paraId="6694B391" w14:textId="77777777" w:rsidTr="00014B03">
        <w:tc>
          <w:tcPr>
            <w:tcW w:w="2694" w:type="dxa"/>
            <w:shd w:val="clear" w:color="auto" w:fill="auto"/>
          </w:tcPr>
          <w:p w14:paraId="3B762D2F" w14:textId="77777777" w:rsidR="00C11027" w:rsidRPr="00245E7D" w:rsidRDefault="00C11027" w:rsidP="00730E8E">
            <w:pPr>
              <w:spacing w:line="240" w:lineRule="auto"/>
              <w:rPr>
                <w:rFonts w:ascii="Arial" w:hAnsi="Arial" w:cs="Arial"/>
                <w:b/>
                <w:lang w:val="en-US"/>
              </w:rPr>
            </w:pPr>
            <w:r w:rsidRPr="00245E7D">
              <w:rPr>
                <w:rFonts w:ascii="Arial" w:hAnsi="Arial" w:cs="Arial"/>
                <w:b/>
                <w:lang w:val="en-US"/>
              </w:rPr>
              <w:t>Bank name &amp; address</w:t>
            </w:r>
          </w:p>
        </w:tc>
        <w:tc>
          <w:tcPr>
            <w:tcW w:w="7082" w:type="dxa"/>
            <w:shd w:val="clear" w:color="auto" w:fill="auto"/>
          </w:tcPr>
          <w:p w14:paraId="3FB03958" w14:textId="1B614E7A" w:rsidR="00C11027" w:rsidRPr="007700F3" w:rsidRDefault="00735ECE" w:rsidP="00730E8E">
            <w:pPr>
              <w:spacing w:line="240" w:lineRule="auto"/>
              <w:rPr>
                <w:rFonts w:ascii="Arial" w:hAnsi="Arial" w:cs="Arial"/>
                <w:highlight w:val="yellow"/>
                <w:lang w:val="en-US"/>
              </w:rPr>
            </w:pPr>
            <w:r w:rsidRPr="007700F3">
              <w:rPr>
                <w:rFonts w:ascii="Arial" w:hAnsi="Arial" w:cs="Arial"/>
                <w:highlight w:val="yellow"/>
              </w:rPr>
              <w:t>[●]</w:t>
            </w:r>
          </w:p>
        </w:tc>
      </w:tr>
      <w:tr w:rsidR="00C11027" w:rsidRPr="00245E7D" w14:paraId="160CAF4E" w14:textId="77777777" w:rsidTr="00014B03">
        <w:tc>
          <w:tcPr>
            <w:tcW w:w="2694" w:type="dxa"/>
            <w:shd w:val="clear" w:color="auto" w:fill="auto"/>
          </w:tcPr>
          <w:p w14:paraId="71B9B044" w14:textId="77777777" w:rsidR="00C11027" w:rsidRPr="00245E7D" w:rsidRDefault="00C11027" w:rsidP="00730E8E">
            <w:pPr>
              <w:spacing w:line="240" w:lineRule="auto"/>
              <w:rPr>
                <w:rFonts w:ascii="Arial" w:hAnsi="Arial" w:cs="Arial"/>
                <w:b/>
                <w:lang w:val="en-US"/>
              </w:rPr>
            </w:pPr>
            <w:r w:rsidRPr="00245E7D">
              <w:rPr>
                <w:rFonts w:ascii="Arial" w:hAnsi="Arial" w:cs="Arial"/>
                <w:b/>
                <w:lang w:val="en-US"/>
              </w:rPr>
              <w:t>Account name</w:t>
            </w:r>
          </w:p>
        </w:tc>
        <w:tc>
          <w:tcPr>
            <w:tcW w:w="7082" w:type="dxa"/>
            <w:shd w:val="clear" w:color="auto" w:fill="auto"/>
          </w:tcPr>
          <w:p w14:paraId="7BAC24CC" w14:textId="78418CA8" w:rsidR="00C11027" w:rsidRPr="007700F3" w:rsidRDefault="00735ECE" w:rsidP="00730E8E">
            <w:pPr>
              <w:spacing w:line="240" w:lineRule="auto"/>
              <w:rPr>
                <w:rFonts w:ascii="Arial" w:hAnsi="Arial" w:cs="Arial"/>
                <w:highlight w:val="yellow"/>
                <w:lang w:val="en-US"/>
              </w:rPr>
            </w:pPr>
            <w:r w:rsidRPr="007700F3">
              <w:rPr>
                <w:rFonts w:ascii="Arial" w:hAnsi="Arial" w:cs="Arial"/>
                <w:highlight w:val="yellow"/>
              </w:rPr>
              <w:t>[●]</w:t>
            </w:r>
          </w:p>
        </w:tc>
      </w:tr>
      <w:tr w:rsidR="00C11027" w:rsidRPr="00245E7D" w14:paraId="7456FD88" w14:textId="77777777" w:rsidTr="00014B03">
        <w:tc>
          <w:tcPr>
            <w:tcW w:w="2694" w:type="dxa"/>
            <w:shd w:val="clear" w:color="auto" w:fill="auto"/>
          </w:tcPr>
          <w:p w14:paraId="7FAE0D49" w14:textId="77777777" w:rsidR="00C11027" w:rsidRPr="00245E7D" w:rsidRDefault="00C11027" w:rsidP="00730E8E">
            <w:pPr>
              <w:spacing w:line="240" w:lineRule="auto"/>
              <w:rPr>
                <w:rFonts w:ascii="Arial" w:hAnsi="Arial" w:cs="Arial"/>
                <w:b/>
                <w:lang w:val="en-US"/>
              </w:rPr>
            </w:pPr>
            <w:r w:rsidRPr="00245E7D">
              <w:rPr>
                <w:rFonts w:ascii="Arial" w:hAnsi="Arial" w:cs="Arial"/>
                <w:b/>
                <w:lang w:val="en-US"/>
              </w:rPr>
              <w:t>Account number</w:t>
            </w:r>
          </w:p>
        </w:tc>
        <w:tc>
          <w:tcPr>
            <w:tcW w:w="7082" w:type="dxa"/>
            <w:shd w:val="clear" w:color="auto" w:fill="auto"/>
          </w:tcPr>
          <w:p w14:paraId="5340B470" w14:textId="33E38077" w:rsidR="00C11027" w:rsidRPr="007700F3" w:rsidRDefault="00576EAB" w:rsidP="00730E8E">
            <w:pPr>
              <w:spacing w:line="240" w:lineRule="auto"/>
              <w:rPr>
                <w:rFonts w:ascii="Arial" w:hAnsi="Arial" w:cs="Arial"/>
                <w:highlight w:val="yellow"/>
                <w:lang w:val="en-US"/>
              </w:rPr>
            </w:pPr>
            <w:r w:rsidRPr="007700F3">
              <w:rPr>
                <w:rFonts w:ascii="Arial" w:hAnsi="Arial" w:cs="Arial"/>
                <w:highlight w:val="yellow"/>
              </w:rPr>
              <w:t>[●]</w:t>
            </w:r>
          </w:p>
        </w:tc>
      </w:tr>
      <w:tr w:rsidR="00576EAB" w:rsidRPr="00245E7D" w14:paraId="1038DD1A" w14:textId="77777777" w:rsidTr="00014B03">
        <w:tc>
          <w:tcPr>
            <w:tcW w:w="2694" w:type="dxa"/>
            <w:shd w:val="clear" w:color="auto" w:fill="auto"/>
          </w:tcPr>
          <w:p w14:paraId="65A7B07C" w14:textId="29F281BA" w:rsidR="00576EAB" w:rsidRPr="00245E7D" w:rsidRDefault="00576EAB" w:rsidP="00730E8E">
            <w:pPr>
              <w:spacing w:line="240" w:lineRule="auto"/>
              <w:rPr>
                <w:rFonts w:ascii="Arial" w:hAnsi="Arial" w:cs="Arial"/>
                <w:b/>
                <w:lang w:val="en-US"/>
              </w:rPr>
            </w:pPr>
            <w:r>
              <w:rPr>
                <w:rFonts w:ascii="Arial" w:hAnsi="Arial" w:cs="Arial"/>
                <w:b/>
                <w:lang w:val="en-US"/>
              </w:rPr>
              <w:t>IBAN</w:t>
            </w:r>
          </w:p>
        </w:tc>
        <w:tc>
          <w:tcPr>
            <w:tcW w:w="7082" w:type="dxa"/>
            <w:shd w:val="clear" w:color="auto" w:fill="auto"/>
          </w:tcPr>
          <w:p w14:paraId="6D2A70DE" w14:textId="39C431FE" w:rsidR="00576EAB" w:rsidRPr="007700F3" w:rsidRDefault="00576EAB" w:rsidP="00730E8E">
            <w:pPr>
              <w:spacing w:line="240" w:lineRule="auto"/>
              <w:rPr>
                <w:rFonts w:ascii="Arial" w:hAnsi="Arial" w:cs="Arial"/>
                <w:highlight w:val="yellow"/>
              </w:rPr>
            </w:pPr>
            <w:r w:rsidRPr="007700F3">
              <w:rPr>
                <w:rFonts w:ascii="Arial" w:hAnsi="Arial" w:cs="Arial"/>
                <w:highlight w:val="yellow"/>
              </w:rPr>
              <w:t>[●]</w:t>
            </w:r>
          </w:p>
        </w:tc>
      </w:tr>
      <w:tr w:rsidR="00C11027" w:rsidRPr="00245E7D" w14:paraId="427EFBA5" w14:textId="77777777" w:rsidTr="00014B03">
        <w:tc>
          <w:tcPr>
            <w:tcW w:w="2694" w:type="dxa"/>
            <w:shd w:val="clear" w:color="auto" w:fill="auto"/>
          </w:tcPr>
          <w:p w14:paraId="48494A3C" w14:textId="72E3AA8D" w:rsidR="00C11027" w:rsidRPr="00245E7D" w:rsidRDefault="00C11027" w:rsidP="00730E8E">
            <w:pPr>
              <w:spacing w:line="240" w:lineRule="auto"/>
              <w:rPr>
                <w:rFonts w:ascii="Arial" w:hAnsi="Arial" w:cs="Arial"/>
                <w:b/>
                <w:lang w:val="en-US"/>
              </w:rPr>
            </w:pPr>
            <w:r w:rsidRPr="00245E7D">
              <w:rPr>
                <w:rFonts w:ascii="Arial" w:hAnsi="Arial" w:cs="Arial"/>
                <w:b/>
                <w:lang w:val="en-US"/>
              </w:rPr>
              <w:t>Sort code</w:t>
            </w:r>
            <w:r w:rsidR="00576EAB">
              <w:rPr>
                <w:rFonts w:ascii="Arial" w:hAnsi="Arial" w:cs="Arial"/>
                <w:b/>
                <w:lang w:val="en-US"/>
              </w:rPr>
              <w:t>/SWIFT Code</w:t>
            </w:r>
          </w:p>
        </w:tc>
        <w:tc>
          <w:tcPr>
            <w:tcW w:w="7082" w:type="dxa"/>
            <w:shd w:val="clear" w:color="auto" w:fill="auto"/>
          </w:tcPr>
          <w:p w14:paraId="3EB1B524" w14:textId="73B88102" w:rsidR="00C11027" w:rsidRPr="007700F3" w:rsidRDefault="00735ECE" w:rsidP="00730E8E">
            <w:pPr>
              <w:spacing w:line="240" w:lineRule="auto"/>
              <w:rPr>
                <w:rFonts w:ascii="Arial" w:hAnsi="Arial" w:cs="Arial"/>
                <w:highlight w:val="yellow"/>
                <w:lang w:val="en-US"/>
              </w:rPr>
            </w:pPr>
            <w:r w:rsidRPr="007700F3">
              <w:rPr>
                <w:rFonts w:ascii="Arial" w:hAnsi="Arial" w:cs="Arial"/>
                <w:highlight w:val="yellow"/>
              </w:rPr>
              <w:t>[●]</w:t>
            </w:r>
          </w:p>
        </w:tc>
      </w:tr>
      <w:tr w:rsidR="00C11027" w:rsidRPr="00245E7D" w14:paraId="114AF7A3" w14:textId="77777777" w:rsidTr="00014B03">
        <w:tc>
          <w:tcPr>
            <w:tcW w:w="2694" w:type="dxa"/>
            <w:shd w:val="clear" w:color="auto" w:fill="auto"/>
          </w:tcPr>
          <w:p w14:paraId="1C88D36B" w14:textId="77777777" w:rsidR="00C11027" w:rsidRPr="00245E7D" w:rsidRDefault="00C11027" w:rsidP="00730E8E">
            <w:pPr>
              <w:spacing w:line="240" w:lineRule="auto"/>
              <w:rPr>
                <w:rFonts w:ascii="Arial" w:hAnsi="Arial" w:cs="Arial"/>
                <w:b/>
                <w:lang w:val="en-US"/>
              </w:rPr>
            </w:pPr>
            <w:r w:rsidRPr="00245E7D">
              <w:rPr>
                <w:rFonts w:ascii="Arial" w:hAnsi="Arial" w:cs="Arial"/>
                <w:b/>
                <w:lang w:val="en-US"/>
              </w:rPr>
              <w:t>Contact for remittance advice (name &amp; address)</w:t>
            </w:r>
          </w:p>
        </w:tc>
        <w:tc>
          <w:tcPr>
            <w:tcW w:w="7082" w:type="dxa"/>
            <w:shd w:val="clear" w:color="auto" w:fill="auto"/>
          </w:tcPr>
          <w:p w14:paraId="4823679E" w14:textId="64AE56B9" w:rsidR="00C11027" w:rsidRPr="007700F3" w:rsidRDefault="00735ECE" w:rsidP="00730E8E">
            <w:pPr>
              <w:spacing w:line="240" w:lineRule="auto"/>
              <w:rPr>
                <w:rFonts w:ascii="Arial" w:hAnsi="Arial" w:cs="Arial"/>
                <w:highlight w:val="yellow"/>
                <w:lang w:val="en-US"/>
              </w:rPr>
            </w:pPr>
            <w:r w:rsidRPr="007700F3">
              <w:rPr>
                <w:rFonts w:ascii="Arial" w:hAnsi="Arial" w:cs="Arial"/>
                <w:highlight w:val="yellow"/>
              </w:rPr>
              <w:t>[●]</w:t>
            </w:r>
          </w:p>
        </w:tc>
      </w:tr>
      <w:tr w:rsidR="00C11027" w:rsidRPr="00245E7D" w14:paraId="2BA12D64" w14:textId="77777777" w:rsidTr="00014B03">
        <w:tc>
          <w:tcPr>
            <w:tcW w:w="2694" w:type="dxa"/>
            <w:shd w:val="clear" w:color="auto" w:fill="auto"/>
          </w:tcPr>
          <w:p w14:paraId="040AD686" w14:textId="77777777" w:rsidR="00C11027" w:rsidRPr="00245E7D" w:rsidRDefault="00C11027" w:rsidP="00730E8E">
            <w:pPr>
              <w:spacing w:line="240" w:lineRule="auto"/>
              <w:rPr>
                <w:rFonts w:ascii="Arial" w:hAnsi="Arial" w:cs="Arial"/>
                <w:lang w:val="en-US"/>
              </w:rPr>
            </w:pPr>
            <w:r w:rsidRPr="00245E7D">
              <w:rPr>
                <w:rFonts w:ascii="Arial" w:hAnsi="Arial" w:cs="Arial"/>
                <w:b/>
                <w:lang w:val="en-US"/>
              </w:rPr>
              <w:t xml:space="preserve">Grant ID </w:t>
            </w:r>
            <w:r w:rsidRPr="00245E7D">
              <w:rPr>
                <w:rFonts w:ascii="Arial" w:hAnsi="Arial" w:cs="Arial"/>
                <w:lang w:val="en-US"/>
              </w:rPr>
              <w:t>(found at the top of your contract, this will be the payment reference going forward)</w:t>
            </w:r>
          </w:p>
        </w:tc>
        <w:tc>
          <w:tcPr>
            <w:tcW w:w="7082" w:type="dxa"/>
            <w:shd w:val="clear" w:color="auto" w:fill="auto"/>
          </w:tcPr>
          <w:p w14:paraId="2ED48FE6" w14:textId="645CD729" w:rsidR="00C11027" w:rsidRPr="007700F3" w:rsidRDefault="00735ECE" w:rsidP="00730E8E">
            <w:pPr>
              <w:spacing w:line="240" w:lineRule="auto"/>
              <w:rPr>
                <w:rFonts w:ascii="Arial" w:hAnsi="Arial" w:cs="Arial"/>
                <w:highlight w:val="yellow"/>
                <w:lang w:val="en-US"/>
              </w:rPr>
            </w:pPr>
            <w:r w:rsidRPr="007700F3">
              <w:rPr>
                <w:rFonts w:ascii="Arial" w:hAnsi="Arial" w:cs="Arial"/>
                <w:highlight w:val="yellow"/>
              </w:rPr>
              <w:t>[●]</w:t>
            </w:r>
          </w:p>
        </w:tc>
      </w:tr>
      <w:tr w:rsidR="00C11027" w:rsidRPr="00245E7D" w14:paraId="547D4B53" w14:textId="77777777" w:rsidTr="00014B03">
        <w:tc>
          <w:tcPr>
            <w:tcW w:w="2694" w:type="dxa"/>
            <w:shd w:val="clear" w:color="auto" w:fill="auto"/>
          </w:tcPr>
          <w:p w14:paraId="61573011" w14:textId="77777777" w:rsidR="00C11027" w:rsidRPr="00245E7D" w:rsidRDefault="00C11027" w:rsidP="00730E8E">
            <w:pPr>
              <w:spacing w:line="240" w:lineRule="auto"/>
              <w:rPr>
                <w:rFonts w:ascii="Arial" w:hAnsi="Arial" w:cs="Arial"/>
                <w:b/>
                <w:lang w:val="en-US"/>
              </w:rPr>
            </w:pPr>
            <w:r w:rsidRPr="00245E7D">
              <w:rPr>
                <w:rFonts w:ascii="Arial" w:hAnsi="Arial" w:cs="Arial"/>
                <w:b/>
                <w:lang w:val="en-US"/>
              </w:rPr>
              <w:t>Total Grant Amount</w:t>
            </w:r>
          </w:p>
        </w:tc>
        <w:tc>
          <w:tcPr>
            <w:tcW w:w="7082" w:type="dxa"/>
            <w:shd w:val="clear" w:color="auto" w:fill="auto"/>
          </w:tcPr>
          <w:p w14:paraId="68DBD4BD" w14:textId="33FF86A6" w:rsidR="00C11027" w:rsidRPr="007700F3" w:rsidRDefault="00C11027" w:rsidP="00730E8E">
            <w:pPr>
              <w:spacing w:line="240" w:lineRule="auto"/>
              <w:rPr>
                <w:rFonts w:ascii="Arial" w:hAnsi="Arial" w:cs="Arial"/>
                <w:highlight w:val="yellow"/>
                <w:lang w:val="en-US"/>
              </w:rPr>
            </w:pPr>
            <w:r w:rsidRPr="005F21EA">
              <w:rPr>
                <w:rFonts w:ascii="Arial" w:hAnsi="Arial" w:cs="Arial"/>
                <w:lang w:val="en-US"/>
              </w:rPr>
              <w:t>£</w:t>
            </w:r>
            <w:r w:rsidR="00735ECE" w:rsidRPr="005F21EA">
              <w:rPr>
                <w:rFonts w:ascii="Arial" w:hAnsi="Arial" w:cs="Arial"/>
                <w:lang w:val="en-US"/>
              </w:rPr>
              <w:t xml:space="preserve"> </w:t>
            </w:r>
            <w:r w:rsidR="00735ECE" w:rsidRPr="007700F3">
              <w:rPr>
                <w:rFonts w:ascii="Arial" w:hAnsi="Arial" w:cs="Arial"/>
                <w:highlight w:val="yellow"/>
              </w:rPr>
              <w:t>[●]</w:t>
            </w:r>
          </w:p>
        </w:tc>
      </w:tr>
    </w:tbl>
    <w:p w14:paraId="65BF81DF" w14:textId="77777777" w:rsidR="00C11027" w:rsidRPr="00245E7D" w:rsidRDefault="00C11027" w:rsidP="00730E8E">
      <w:pPr>
        <w:spacing w:line="240" w:lineRule="auto"/>
        <w:rPr>
          <w:rFonts w:ascii="Arial" w:hAnsi="Arial" w:cs="Arial"/>
          <w:lang w:val="en-US"/>
        </w:rPr>
      </w:pPr>
    </w:p>
    <w:p w14:paraId="7EE6363A" w14:textId="77777777" w:rsidR="00C11027" w:rsidRPr="00245E7D" w:rsidRDefault="00C11027" w:rsidP="00730E8E">
      <w:pPr>
        <w:spacing w:line="240" w:lineRule="auto"/>
        <w:rPr>
          <w:rFonts w:ascii="Arial" w:hAnsi="Arial" w:cs="Arial"/>
          <w:lang w:val="en-US"/>
        </w:rPr>
      </w:pPr>
      <w:r w:rsidRPr="00245E7D">
        <w:rPr>
          <w:rFonts w:ascii="Arial" w:hAnsi="Arial" w:cs="Arial"/>
          <w:b/>
          <w:lang w:val="en-US"/>
        </w:rPr>
        <w:t>Note:</w:t>
      </w:r>
      <w:r w:rsidRPr="00245E7D">
        <w:rPr>
          <w:rFonts w:ascii="Arial" w:hAnsi="Arial" w:cs="Arial"/>
          <w:lang w:val="en-US"/>
        </w:rPr>
        <w:t xml:space="preserve"> </w:t>
      </w:r>
      <w:r w:rsidRPr="00245E7D">
        <w:rPr>
          <w:rFonts w:ascii="Arial" w:hAnsi="Arial" w:cs="Arial"/>
          <w:i/>
          <w:lang w:val="en-US"/>
        </w:rPr>
        <w:t>You may find it useful to share your payment schedule and grant ID, which will appear as the payment reference, with your accounting department in order for them to allocate the funds correctly when payments are made.</w:t>
      </w:r>
    </w:p>
    <w:p w14:paraId="6FCE31EC" w14:textId="77777777" w:rsidR="00F66222" w:rsidRDefault="00F66222" w:rsidP="00730E8E">
      <w:pPr>
        <w:spacing w:line="240" w:lineRule="auto"/>
        <w:ind w:left="720" w:hanging="720"/>
        <w:jc w:val="both"/>
        <w:rPr>
          <w:rFonts w:ascii="Arial" w:hAnsi="Arial" w:cs="Arial"/>
        </w:rPr>
      </w:pPr>
    </w:p>
    <w:p w14:paraId="763E0047" w14:textId="77777777" w:rsidR="003B4C83" w:rsidRDefault="003B4C83" w:rsidP="00730E8E">
      <w:pPr>
        <w:spacing w:line="240" w:lineRule="auto"/>
        <w:ind w:left="720" w:hanging="720"/>
        <w:jc w:val="both"/>
        <w:rPr>
          <w:rFonts w:ascii="Arial" w:hAnsi="Arial" w:cs="Arial"/>
        </w:rPr>
      </w:pPr>
    </w:p>
    <w:p w14:paraId="439D9BAE" w14:textId="77777777" w:rsidR="003B4C83" w:rsidRDefault="003B4C83" w:rsidP="00730E8E">
      <w:pPr>
        <w:spacing w:line="240" w:lineRule="auto"/>
        <w:ind w:left="720" w:hanging="720"/>
        <w:jc w:val="both"/>
        <w:rPr>
          <w:rFonts w:ascii="Arial" w:hAnsi="Arial" w:cs="Arial"/>
        </w:rPr>
      </w:pPr>
    </w:p>
    <w:p w14:paraId="106A2DAB" w14:textId="77777777" w:rsidR="003B4C83" w:rsidRDefault="003B4C83" w:rsidP="00730E8E">
      <w:pPr>
        <w:spacing w:line="240" w:lineRule="auto"/>
        <w:ind w:left="720" w:hanging="720"/>
        <w:jc w:val="both"/>
        <w:rPr>
          <w:rFonts w:ascii="Arial" w:hAnsi="Arial" w:cs="Arial"/>
        </w:rPr>
      </w:pPr>
    </w:p>
    <w:p w14:paraId="5466A939" w14:textId="77777777" w:rsidR="003B4C83" w:rsidRDefault="003B4C83" w:rsidP="00730E8E">
      <w:pPr>
        <w:spacing w:line="240" w:lineRule="auto"/>
        <w:ind w:left="720" w:hanging="720"/>
        <w:jc w:val="both"/>
        <w:rPr>
          <w:rFonts w:ascii="Arial" w:hAnsi="Arial" w:cs="Arial"/>
        </w:rPr>
      </w:pPr>
    </w:p>
    <w:p w14:paraId="0176E114" w14:textId="77777777" w:rsidR="003B4C83" w:rsidRDefault="003B4C83" w:rsidP="00730E8E">
      <w:pPr>
        <w:spacing w:line="240" w:lineRule="auto"/>
        <w:ind w:left="720" w:hanging="720"/>
        <w:jc w:val="both"/>
        <w:rPr>
          <w:rFonts w:ascii="Arial" w:hAnsi="Arial" w:cs="Arial"/>
        </w:rPr>
      </w:pPr>
    </w:p>
    <w:p w14:paraId="48A568EC" w14:textId="77777777" w:rsidR="003B4C83" w:rsidRDefault="003B4C83" w:rsidP="00730E8E">
      <w:pPr>
        <w:spacing w:line="240" w:lineRule="auto"/>
        <w:ind w:left="720" w:hanging="720"/>
        <w:jc w:val="both"/>
        <w:rPr>
          <w:rFonts w:ascii="Arial" w:hAnsi="Arial" w:cs="Arial"/>
        </w:rPr>
      </w:pPr>
    </w:p>
    <w:p w14:paraId="0CB70978" w14:textId="77777777" w:rsidR="003B4C83" w:rsidRDefault="003B4C83" w:rsidP="00730E8E">
      <w:pPr>
        <w:spacing w:line="240" w:lineRule="auto"/>
        <w:ind w:left="720" w:hanging="720"/>
        <w:jc w:val="both"/>
        <w:rPr>
          <w:rFonts w:ascii="Arial" w:hAnsi="Arial" w:cs="Arial"/>
        </w:rPr>
      </w:pPr>
    </w:p>
    <w:p w14:paraId="64F2F677" w14:textId="77777777" w:rsidR="003B4C83" w:rsidRDefault="003B4C83" w:rsidP="00730E8E">
      <w:pPr>
        <w:spacing w:line="240" w:lineRule="auto"/>
        <w:ind w:left="720" w:hanging="720"/>
        <w:jc w:val="both"/>
        <w:rPr>
          <w:rFonts w:ascii="Arial" w:hAnsi="Arial" w:cs="Arial"/>
        </w:rPr>
      </w:pPr>
    </w:p>
    <w:p w14:paraId="57E62412" w14:textId="77777777" w:rsidR="003B4C83" w:rsidRDefault="003B4C83" w:rsidP="00730E8E">
      <w:pPr>
        <w:spacing w:line="240" w:lineRule="auto"/>
        <w:ind w:left="720" w:hanging="720"/>
        <w:jc w:val="both"/>
        <w:rPr>
          <w:rFonts w:ascii="Arial" w:hAnsi="Arial" w:cs="Arial"/>
        </w:rPr>
      </w:pPr>
    </w:p>
    <w:p w14:paraId="61113EB3" w14:textId="77777777" w:rsidR="002D2BA4" w:rsidRDefault="002D2BA4" w:rsidP="00EC5CC0">
      <w:pPr>
        <w:spacing w:line="240" w:lineRule="auto"/>
        <w:ind w:left="720" w:hanging="720"/>
        <w:jc w:val="center"/>
        <w:rPr>
          <w:rFonts w:ascii="Arial" w:hAnsi="Arial" w:cs="Arial"/>
          <w:b/>
        </w:rPr>
        <w:sectPr w:rsidR="002D2BA4" w:rsidSect="004F1C8D">
          <w:headerReference w:type="even" r:id="rId9"/>
          <w:headerReference w:type="default" r:id="rId10"/>
          <w:footerReference w:type="even" r:id="rId11"/>
          <w:footerReference w:type="default" r:id="rId12"/>
          <w:headerReference w:type="first" r:id="rId13"/>
          <w:footerReference w:type="first" r:id="rId14"/>
          <w:pgSz w:w="11907" w:h="16839" w:code="9"/>
          <w:pgMar w:top="2529" w:right="1275" w:bottom="1440" w:left="964" w:header="720" w:footer="833" w:gutter="0"/>
          <w:cols w:space="720"/>
          <w:docGrid w:linePitch="360"/>
        </w:sectPr>
      </w:pPr>
    </w:p>
    <w:bookmarkEnd w:id="0"/>
    <w:p w14:paraId="01BA9517" w14:textId="20D9B14C" w:rsidR="001B7164" w:rsidRDefault="00F954E2" w:rsidP="00F954E2">
      <w:pPr>
        <w:spacing w:line="240" w:lineRule="auto"/>
        <w:ind w:left="720" w:hanging="720"/>
        <w:jc w:val="center"/>
        <w:rPr>
          <w:rFonts w:ascii="Arial" w:hAnsi="Arial" w:cs="Arial"/>
          <w:b/>
        </w:rPr>
      </w:pPr>
      <w:r>
        <w:rPr>
          <w:rFonts w:ascii="Arial" w:hAnsi="Arial" w:cs="Arial"/>
          <w:b/>
        </w:rPr>
        <w:lastRenderedPageBreak/>
        <w:t>Annex</w:t>
      </w:r>
      <w:r w:rsidR="00F25E4F">
        <w:rPr>
          <w:rFonts w:ascii="Arial" w:hAnsi="Arial" w:cs="Arial"/>
          <w:b/>
        </w:rPr>
        <w:t xml:space="preserve"> 4</w:t>
      </w:r>
      <w:r w:rsidRPr="001B7164">
        <w:rPr>
          <w:rFonts w:ascii="Arial" w:hAnsi="Arial" w:cs="Arial"/>
          <w:b/>
        </w:rPr>
        <w:t>:</w:t>
      </w:r>
      <w:r w:rsidR="001B7164" w:rsidRPr="001B7164">
        <w:rPr>
          <w:rFonts w:ascii="Arial" w:hAnsi="Arial" w:cs="Arial"/>
          <w:b/>
        </w:rPr>
        <w:t xml:space="preserve"> </w:t>
      </w:r>
    </w:p>
    <w:p w14:paraId="73DF40C0" w14:textId="5F18AD01" w:rsidR="00F954E2" w:rsidRPr="001B7164" w:rsidRDefault="77F5746A" w:rsidP="29443DFE">
      <w:pPr>
        <w:spacing w:line="240" w:lineRule="auto"/>
        <w:ind w:left="720" w:hanging="720"/>
        <w:jc w:val="center"/>
        <w:rPr>
          <w:rFonts w:ascii="Arial" w:hAnsi="Arial" w:cs="Arial"/>
          <w:b/>
          <w:bCs/>
        </w:rPr>
      </w:pPr>
      <w:r w:rsidRPr="29443DFE">
        <w:rPr>
          <w:rFonts w:ascii="Arial" w:hAnsi="Arial" w:cs="Arial"/>
          <w:b/>
          <w:bCs/>
        </w:rPr>
        <w:t xml:space="preserve">Funding Agreement </w:t>
      </w:r>
    </w:p>
    <w:bookmarkEnd w:id="1"/>
    <w:p w14:paraId="3927B60D" w14:textId="2D65D76C" w:rsidR="003B4C83" w:rsidRDefault="003B4C83" w:rsidP="00730E8E">
      <w:pPr>
        <w:spacing w:line="240" w:lineRule="auto"/>
        <w:ind w:left="5040" w:hanging="5040"/>
        <w:rPr>
          <w:rFonts w:ascii="Arial" w:hAnsi="Arial" w:cs="Arial"/>
        </w:rPr>
      </w:pPr>
    </w:p>
    <w:p w14:paraId="3669461F" w14:textId="283F31B2" w:rsidR="00AD0F30" w:rsidRPr="003B4C83" w:rsidRDefault="00CE29D0" w:rsidP="00CE29D0">
      <w:pPr>
        <w:spacing w:line="240" w:lineRule="auto"/>
        <w:jc w:val="center"/>
        <w:rPr>
          <w:rFonts w:ascii="Arial" w:hAnsi="Arial" w:cs="Arial"/>
        </w:rPr>
      </w:pPr>
      <w:r>
        <w:rPr>
          <w:rFonts w:ascii="Arial" w:hAnsi="Arial" w:cs="Arial"/>
        </w:rPr>
        <w:object w:dxaOrig="1520" w:dyaOrig="985" w14:anchorId="49738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5" o:title=""/>
          </v:shape>
          <o:OLEObject Type="Link" ProgID="AcroExch.Document.DC" ShapeID="_x0000_i1025" DrawAspect="Icon" r:id="rId16" UpdateMode="Always">
            <o:LinkType>EnhancedMetaFile</o:LinkType>
            <o:LockedField>false</o:LockedField>
            <o:FieldCodes>\f 0</o:FieldCodes>
          </o:OLEObject>
        </w:object>
      </w:r>
    </w:p>
    <w:sectPr w:rsidR="00AD0F30" w:rsidRPr="003B4C83" w:rsidSect="004F1C8D">
      <w:pgSz w:w="11907" w:h="16839" w:code="9"/>
      <w:pgMar w:top="2529" w:right="1275" w:bottom="1440" w:left="964" w:header="720" w:footer="8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12A1" w14:textId="77777777" w:rsidR="000A422C" w:rsidRDefault="000A422C" w:rsidP="00731609">
      <w:pPr>
        <w:spacing w:after="0" w:line="240" w:lineRule="auto"/>
      </w:pPr>
      <w:r>
        <w:separator/>
      </w:r>
    </w:p>
  </w:endnote>
  <w:endnote w:type="continuationSeparator" w:id="0">
    <w:p w14:paraId="2F70CD30" w14:textId="77777777" w:rsidR="000A422C" w:rsidRDefault="000A422C" w:rsidP="00731609">
      <w:pPr>
        <w:spacing w:after="0" w:line="240" w:lineRule="auto"/>
      </w:pPr>
      <w:r>
        <w:continuationSeparator/>
      </w:r>
    </w:p>
  </w:endnote>
  <w:endnote w:type="continuationNotice" w:id="1">
    <w:p w14:paraId="6233C8C3" w14:textId="77777777" w:rsidR="000A422C" w:rsidRDefault="000A4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438B" w14:textId="77777777" w:rsidR="00993C0F" w:rsidRDefault="00993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99DC" w14:textId="77777777" w:rsidR="00993C0F" w:rsidRPr="00C4035B" w:rsidRDefault="00993C0F" w:rsidP="00C4035B">
    <w:pPr>
      <w:pStyle w:val="Footer"/>
      <w:rPr>
        <w:rFonts w:ascii="Myriad Pro" w:hAnsi="Myriad Pro"/>
        <w:color w:val="00597B"/>
        <w:w w:val="90"/>
        <w:sz w:val="6"/>
        <w:szCs w:val="6"/>
      </w:rPr>
    </w:pPr>
    <w:r>
      <w:rPr>
        <w:noProof/>
        <w:lang w:eastAsia="en-GB"/>
      </w:rPr>
      <mc:AlternateContent>
        <mc:Choice Requires="wps">
          <w:drawing>
            <wp:anchor distT="0" distB="0" distL="114300" distR="114300" simplePos="0" relativeHeight="251658242" behindDoc="0" locked="0" layoutInCell="1" allowOverlap="1" wp14:anchorId="540F0C55" wp14:editId="28C01E9A">
              <wp:simplePos x="0" y="0"/>
              <wp:positionH relativeFrom="column">
                <wp:posOffset>-23323</wp:posOffset>
              </wp:positionH>
              <wp:positionV relativeFrom="paragraph">
                <wp:posOffset>-262486</wp:posOffset>
              </wp:positionV>
              <wp:extent cx="6677891" cy="60007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91"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CAED2" w14:textId="77777777" w:rsidR="00993C0F" w:rsidRDefault="00993C0F" w:rsidP="009204EA">
                          <w:pPr>
                            <w:widowControl w:val="0"/>
                            <w:spacing w:after="0" w:line="240" w:lineRule="auto"/>
                            <w:jc w:val="center"/>
                            <w:rPr>
                              <w:color w:val="00597B"/>
                              <w:w w:val="93"/>
                              <w:sz w:val="17"/>
                              <w:szCs w:val="17"/>
                            </w:rPr>
                          </w:pPr>
                          <w:r>
                            <w:rPr>
                              <w:color w:val="00597B"/>
                              <w:w w:val="93"/>
                              <w:sz w:val="17"/>
                              <w:szCs w:val="17"/>
                            </w:rPr>
                            <w:t>THET (Tropical Health and Education Trust)</w:t>
                          </w:r>
                        </w:p>
                        <w:p w14:paraId="1A9BAD25" w14:textId="2A17C25B" w:rsidR="00993C0F" w:rsidRPr="009204EA" w:rsidRDefault="00993C0F" w:rsidP="009204EA">
                          <w:pPr>
                            <w:rPr>
                              <w:rFonts w:eastAsiaTheme="minorEastAsia"/>
                              <w:noProof/>
                              <w:color w:val="A6A6A6"/>
                              <w:sz w:val="17"/>
                              <w:szCs w:val="17"/>
                              <w:lang w:eastAsia="en-GB"/>
                            </w:rPr>
                          </w:pPr>
                          <w:r>
                            <w:rPr>
                              <w:color w:val="00597B"/>
                              <w:w w:val="93"/>
                              <w:sz w:val="17"/>
                              <w:szCs w:val="17"/>
                            </w:rPr>
                            <w:t>Charity Registration No. 1113101</w:t>
                          </w:r>
                          <w:r w:rsidRPr="00D443AB">
                            <w:rPr>
                              <w:color w:val="00597B"/>
                              <w:w w:val="93"/>
                              <w:sz w:val="17"/>
                              <w:szCs w:val="17"/>
                            </w:rPr>
                            <w:t xml:space="preserve"> |</w:t>
                          </w:r>
                          <w:r>
                            <w:rPr>
                              <w:color w:val="00597B"/>
                              <w:w w:val="93"/>
                              <w:sz w:val="17"/>
                              <w:szCs w:val="17"/>
                            </w:rPr>
                            <w:t xml:space="preserve"> Company Registered by Guarantee 5708871</w:t>
                          </w:r>
                          <w:r w:rsidRPr="00D443AB">
                            <w:rPr>
                              <w:color w:val="00597B"/>
                              <w:w w:val="93"/>
                              <w:sz w:val="17"/>
                              <w:szCs w:val="17"/>
                            </w:rPr>
                            <w:t xml:space="preserve"> |</w:t>
                          </w:r>
                          <w:r>
                            <w:rPr>
                              <w:color w:val="00597B"/>
                              <w:w w:val="93"/>
                              <w:sz w:val="17"/>
                              <w:szCs w:val="17"/>
                            </w:rPr>
                            <w:t xml:space="preserve"> </w:t>
                          </w:r>
                          <w:r w:rsidRPr="009204EA">
                            <w:rPr>
                              <w:rFonts w:eastAsiaTheme="minorEastAsia"/>
                              <w:noProof/>
                              <w:color w:val="00597B"/>
                              <w:sz w:val="17"/>
                              <w:szCs w:val="17"/>
                              <w:lang w:eastAsia="en-GB"/>
                            </w:rPr>
                            <w:t>Registered Office:</w:t>
                          </w:r>
                          <w:r>
                            <w:rPr>
                              <w:rFonts w:eastAsiaTheme="minorEastAsia"/>
                              <w:noProof/>
                              <w:color w:val="00597B"/>
                              <w:sz w:val="17"/>
                              <w:szCs w:val="17"/>
                              <w:lang w:eastAsia="en-GB"/>
                            </w:rPr>
                            <w:t xml:space="preserve"> </w:t>
                          </w:r>
                          <w:r w:rsidRPr="005F21EA">
                            <w:rPr>
                              <w:color w:val="00597B"/>
                              <w:w w:val="93"/>
                              <w:sz w:val="17"/>
                              <w:szCs w:val="17"/>
                            </w:rPr>
                            <w:t>3rd Floor, 86 – 90 Paul Street, London, EC2A 4NE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0F0C55" id="_x0000_t202" coordsize="21600,21600" o:spt="202" path="m,l,21600r21600,l21600,xe">
              <v:stroke joinstyle="miter"/>
              <v:path gradientshapeok="t" o:connecttype="rect"/>
            </v:shapetype>
            <v:shape id="Text Box 11" o:spid="_x0000_s1027" type="#_x0000_t202" style="position:absolute;margin-left:-1.85pt;margin-top:-20.65pt;width:525.8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SQtwIAAME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B1GnPTQons6aXQjJuT7pjzjoDLwuhvAT09wblwNVTXciuqbQlysWsK39FpKMbaU1JCevemeXZ1x&#10;lAHZjB9FDXHITgsLNDWyN4BQDQTo0KaHU2tMLhUcRlEcJynkWIEt8jwvXpjkXJIdbw9S6fdU9Mgs&#10;ciyh9Rad7G+Vnl2PLiYYFyXrOtv+jj87AMz5BGLDVWMzWdhuPqZeuk7WSeiEQbR2Qq8onOtyFTpR&#10;6ceL4l2xWhX+TxPXD7OW1TXlJsxRWX74Z507aHzWxElbSnSsNnAmJSW3m1Un0Z6Askv7HQpy5uY+&#10;T8PWC7i8oOQHoXcTpE4ZJbETluHCSWMvcTw/vUkjL0zDonxO6ZZx+u+U0JjjdBEsZjH9lhv0Gr7X&#10;3EjWMw2zo2N9jpOTE8mMBNe8tq3VhHXz+qwUJv2nUkC7j422gjUandWqp810eBoAZsS8EfUDKFgK&#10;EBjIFOYeLFohf2A0wgzJsfq+I5Ji1H3g8ApSPwzN0LGbcBEHsJHnls25hfAKoHKsMZqXKz0Pqt0g&#10;2baFSPO74+IaXk7DrKifsgJGZgNzwnI7zDQziM731utp8i5/AQAA//8DAFBLAwQUAAYACAAAACEA&#10;K96dXN8AAAAKAQAADwAAAGRycy9kb3ducmV2LnhtbEyPwU7DMAyG70i8Q2QkbluytdtY13RCIK4g&#10;NkDaLWu8tqJxqiZby9vjneBkWf70+/vz7ehaccE+NJ40zKYKBFLpbUOVho/9y+QBRIiGrGk9oYYf&#10;DLAtbm9yk1k/0DtedrESHEIhMxrqGLtMylDW6EyY+g6JbyffOxN57StpezNwuGvlXKmldKYh/lCb&#10;Dp9qLL93Z6fh8/V0+ErVW/XsFt3gRyXJraXW93fj4wZExDH+wXDVZ3Uo2Onoz2SDaDVMkhWTPNNZ&#10;AuIKqHS1BnHUsEjmIItc/q9Q/AIAAP//AwBQSwECLQAUAAYACAAAACEAtoM4kv4AAADhAQAAEwAA&#10;AAAAAAAAAAAAAAAAAAAAW0NvbnRlbnRfVHlwZXNdLnhtbFBLAQItABQABgAIAAAAIQA4/SH/1gAA&#10;AJQBAAALAAAAAAAAAAAAAAAAAC8BAABfcmVscy8ucmVsc1BLAQItABQABgAIAAAAIQDSf6SQtwIA&#10;AMEFAAAOAAAAAAAAAAAAAAAAAC4CAABkcnMvZTJvRG9jLnhtbFBLAQItABQABgAIAAAAIQAr3p1c&#10;3wAAAAoBAAAPAAAAAAAAAAAAAAAAABEFAABkcnMvZG93bnJldi54bWxQSwUGAAAAAAQABADzAAAA&#10;HQYAAAAA&#10;" filled="f" stroked="f">
              <v:textbox>
                <w:txbxContent>
                  <w:p w14:paraId="6D0CAED2" w14:textId="77777777" w:rsidR="00993C0F" w:rsidRDefault="00993C0F" w:rsidP="009204EA">
                    <w:pPr>
                      <w:widowControl w:val="0"/>
                      <w:spacing w:after="0" w:line="240" w:lineRule="auto"/>
                      <w:jc w:val="center"/>
                      <w:rPr>
                        <w:color w:val="00597B"/>
                        <w:w w:val="93"/>
                        <w:sz w:val="17"/>
                        <w:szCs w:val="17"/>
                      </w:rPr>
                    </w:pPr>
                    <w:r>
                      <w:rPr>
                        <w:color w:val="00597B"/>
                        <w:w w:val="93"/>
                        <w:sz w:val="17"/>
                        <w:szCs w:val="17"/>
                      </w:rPr>
                      <w:t>THET (Tropical Health and Education Trust)</w:t>
                    </w:r>
                  </w:p>
                  <w:p w14:paraId="1A9BAD25" w14:textId="2A17C25B" w:rsidR="00993C0F" w:rsidRPr="009204EA" w:rsidRDefault="00993C0F" w:rsidP="009204EA">
                    <w:pPr>
                      <w:rPr>
                        <w:rFonts w:eastAsiaTheme="minorEastAsia"/>
                        <w:noProof/>
                        <w:color w:val="A6A6A6"/>
                        <w:sz w:val="17"/>
                        <w:szCs w:val="17"/>
                        <w:lang w:eastAsia="en-GB"/>
                      </w:rPr>
                    </w:pPr>
                    <w:r>
                      <w:rPr>
                        <w:color w:val="00597B"/>
                        <w:w w:val="93"/>
                        <w:sz w:val="17"/>
                        <w:szCs w:val="17"/>
                      </w:rPr>
                      <w:t>Charity Registration No. 1113101</w:t>
                    </w:r>
                    <w:r w:rsidRPr="00D443AB">
                      <w:rPr>
                        <w:color w:val="00597B"/>
                        <w:w w:val="93"/>
                        <w:sz w:val="17"/>
                        <w:szCs w:val="17"/>
                      </w:rPr>
                      <w:t xml:space="preserve"> |</w:t>
                    </w:r>
                    <w:r>
                      <w:rPr>
                        <w:color w:val="00597B"/>
                        <w:w w:val="93"/>
                        <w:sz w:val="17"/>
                        <w:szCs w:val="17"/>
                      </w:rPr>
                      <w:t xml:space="preserve"> Company Registered by Guarantee 5708871</w:t>
                    </w:r>
                    <w:r w:rsidRPr="00D443AB">
                      <w:rPr>
                        <w:color w:val="00597B"/>
                        <w:w w:val="93"/>
                        <w:sz w:val="17"/>
                        <w:szCs w:val="17"/>
                      </w:rPr>
                      <w:t xml:space="preserve"> |</w:t>
                    </w:r>
                    <w:r>
                      <w:rPr>
                        <w:color w:val="00597B"/>
                        <w:w w:val="93"/>
                        <w:sz w:val="17"/>
                        <w:szCs w:val="17"/>
                      </w:rPr>
                      <w:t xml:space="preserve"> </w:t>
                    </w:r>
                    <w:r w:rsidRPr="009204EA">
                      <w:rPr>
                        <w:rFonts w:eastAsiaTheme="minorEastAsia"/>
                        <w:noProof/>
                        <w:color w:val="00597B"/>
                        <w:sz w:val="17"/>
                        <w:szCs w:val="17"/>
                        <w:lang w:eastAsia="en-GB"/>
                      </w:rPr>
                      <w:t>Registered Office:</w:t>
                    </w:r>
                    <w:r>
                      <w:rPr>
                        <w:rFonts w:eastAsiaTheme="minorEastAsia"/>
                        <w:noProof/>
                        <w:color w:val="00597B"/>
                        <w:sz w:val="17"/>
                        <w:szCs w:val="17"/>
                        <w:lang w:eastAsia="en-GB"/>
                      </w:rPr>
                      <w:t xml:space="preserve"> </w:t>
                    </w:r>
                    <w:r w:rsidRPr="005F21EA">
                      <w:rPr>
                        <w:color w:val="00597B"/>
                        <w:w w:val="93"/>
                        <w:sz w:val="17"/>
                        <w:szCs w:val="17"/>
                      </w:rPr>
                      <w:t>3rd Floor, 86 – 90 Paul Street, London, EC2A 4NE</w:t>
                    </w:r>
                  </w:p>
                </w:txbxContent>
              </v:textbox>
            </v:shape>
          </w:pict>
        </mc:Fallback>
      </mc:AlternateContent>
    </w:r>
    <w:r>
      <w:rPr>
        <w:noProof/>
        <w:lang w:eastAsia="en-GB"/>
      </w:rPr>
      <w:drawing>
        <wp:anchor distT="0" distB="0" distL="114300" distR="114300" simplePos="0" relativeHeight="251658243" behindDoc="1" locked="0" layoutInCell="1" allowOverlap="1" wp14:anchorId="505E6343" wp14:editId="5012F3D4">
          <wp:simplePos x="0" y="0"/>
          <wp:positionH relativeFrom="column">
            <wp:posOffset>4630420</wp:posOffset>
          </wp:positionH>
          <wp:positionV relativeFrom="paragraph">
            <wp:posOffset>-2230120</wp:posOffset>
          </wp:positionV>
          <wp:extent cx="2037080" cy="2279015"/>
          <wp:effectExtent l="0" t="0" r="1270" b="6985"/>
          <wp:wrapNone/>
          <wp:docPr id="12" name="Picture 12" descr="Faded glob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ded glob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2279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6F93" w14:textId="77777777" w:rsidR="00993C0F" w:rsidRDefault="00993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7AE2" w14:textId="77777777" w:rsidR="000A422C" w:rsidRDefault="000A422C" w:rsidP="00731609">
      <w:pPr>
        <w:spacing w:after="0" w:line="240" w:lineRule="auto"/>
      </w:pPr>
      <w:r>
        <w:separator/>
      </w:r>
    </w:p>
  </w:footnote>
  <w:footnote w:type="continuationSeparator" w:id="0">
    <w:p w14:paraId="3E0041C9" w14:textId="77777777" w:rsidR="000A422C" w:rsidRDefault="000A422C" w:rsidP="00731609">
      <w:pPr>
        <w:spacing w:after="0" w:line="240" w:lineRule="auto"/>
      </w:pPr>
      <w:r>
        <w:continuationSeparator/>
      </w:r>
    </w:p>
  </w:footnote>
  <w:footnote w:type="continuationNotice" w:id="1">
    <w:p w14:paraId="3853E463" w14:textId="77777777" w:rsidR="000A422C" w:rsidRDefault="000A422C">
      <w:pPr>
        <w:spacing w:after="0" w:line="240" w:lineRule="auto"/>
      </w:pPr>
    </w:p>
  </w:footnote>
  <w:footnote w:id="2">
    <w:p w14:paraId="27AE7898" w14:textId="5F0F2702" w:rsidR="00993C0F" w:rsidRPr="00924809" w:rsidRDefault="00993C0F">
      <w:pPr>
        <w:pStyle w:val="FootnoteText"/>
        <w:rPr>
          <w:lang w:val="en-GB"/>
        </w:rPr>
      </w:pPr>
      <w:r>
        <w:rPr>
          <w:rStyle w:val="FootnoteReference"/>
        </w:rPr>
        <w:footnoteRef/>
      </w:r>
      <w:r>
        <w:t xml:space="preserve"> </w:t>
      </w:r>
      <w:r w:rsidRPr="00924809">
        <w:rPr>
          <w:vertAlign w:val="superscript"/>
          <w:lang w:val="en-GB"/>
        </w:rPr>
        <w:t>A victim/survivor centered-approach is one for which the victim/survivor’s dignity, experiences, considerations, needs, and resiliencies are placed at the center of the process, from the initial program design to investigating and responding to potential incidents. Consistent with the UN Protocol on Allegations of SEA Involving Implementing Partners, the victim/survivor should be informed, consulted during the decision-making process, and provide consent on the possible use and disclosure of their information. Those interacting with the victim/survivor and/or handling information regarding the allegation will maintain confidentiality, ensure safety of the victim/survivor, and apply victim/survivor-centered principles which are safety, confidentiality, respect, and non-discrimination. When the victim/survivor is a child, the approach will consider the best interests of the child and engage with the family/caregivers as appropriate. Staff and partners should comply with host country and local child welfare and protection legislation and international standards, whichever gives greater protection.</w:t>
      </w:r>
    </w:p>
  </w:footnote>
  <w:footnote w:id="3">
    <w:p w14:paraId="36EC7FD5" w14:textId="25706A9F" w:rsidR="00993C0F" w:rsidRPr="00BB4B98" w:rsidRDefault="00993C0F">
      <w:pPr>
        <w:pStyle w:val="FootnoteText"/>
        <w:rPr>
          <w:highlight w:val="yellow"/>
          <w:lang w:val="en-GB"/>
        </w:rPr>
      </w:pPr>
      <w:r w:rsidRPr="00BB4B98">
        <w:rPr>
          <w:rStyle w:val="FootnoteReference"/>
          <w:highlight w:val="yellow"/>
          <w:lang w:val="en-GB"/>
        </w:rPr>
        <w:footnoteRef/>
      </w:r>
      <w:r w:rsidRPr="00BB4B98">
        <w:rPr>
          <w:highlight w:val="yellow"/>
          <w:lang w:val="en-GB"/>
        </w:rPr>
        <w:tab/>
        <w:t xml:space="preserve">To select depending on whether the Lead Partner is based in Scotland (in which case refer to the Freedom of Information (Scotland) Act 2002 only) or England, Wales or Northern Ireland (in which case refer to the FOIA only) </w:t>
      </w:r>
    </w:p>
  </w:footnote>
  <w:footnote w:id="4">
    <w:p w14:paraId="3D04CBD8" w14:textId="5EB24701" w:rsidR="00993C0F" w:rsidRPr="00BB4B98" w:rsidRDefault="00993C0F" w:rsidP="00C00CF4">
      <w:pPr>
        <w:pStyle w:val="FootnoteText"/>
        <w:rPr>
          <w:highlight w:val="yellow"/>
          <w:lang w:val="en-GB"/>
        </w:rPr>
      </w:pPr>
      <w:r w:rsidRPr="00BB4B98">
        <w:rPr>
          <w:rStyle w:val="FootnoteReference"/>
          <w:highlight w:val="yellow"/>
          <w:lang w:val="en-GB"/>
        </w:rPr>
        <w:footnoteRef/>
      </w:r>
      <w:r w:rsidRPr="00BB4B98">
        <w:rPr>
          <w:highlight w:val="yellow"/>
          <w:lang w:val="en-GB"/>
        </w:rPr>
        <w:tab/>
        <w:t>To select depending on whether the Lead Partner is based in Scotland (in which case refer to the Freedom of Information (Scotland) Act 2002 only) or England, Wales or Northern Ireland (in which case refer to the FOIA only)</w:t>
      </w:r>
    </w:p>
  </w:footnote>
  <w:footnote w:id="5">
    <w:p w14:paraId="21303C4B" w14:textId="0B2FF645" w:rsidR="00993C0F" w:rsidRPr="004B6789" w:rsidRDefault="00993C0F">
      <w:pPr>
        <w:pStyle w:val="FootnoteText"/>
        <w:rPr>
          <w:lang w:val="en-GB"/>
        </w:rPr>
      </w:pPr>
      <w:r w:rsidRPr="00BB4B98">
        <w:rPr>
          <w:rStyle w:val="FootnoteReference"/>
          <w:highlight w:val="yellow"/>
          <w:lang w:val="en-GB"/>
        </w:rPr>
        <w:footnoteRef/>
      </w:r>
      <w:r w:rsidRPr="00BB4B98">
        <w:rPr>
          <w:highlight w:val="yellow"/>
          <w:lang w:val="en-GB"/>
        </w:rPr>
        <w:t xml:space="preserve"> </w:t>
      </w:r>
      <w:r w:rsidRPr="00BB4B98">
        <w:rPr>
          <w:highlight w:val="yellow"/>
          <w:lang w:val="en-GB"/>
        </w:rPr>
        <w:tab/>
        <w:t>To select depending on whether the Lead Partner is based in Scotland (in which case refer to the Freedom of Information (Scotland) Act 2002 only) or England, Wales or Northern Ireland (in which case refer to the FOIA only)</w:t>
      </w:r>
    </w:p>
  </w:footnote>
  <w:footnote w:id="6">
    <w:p w14:paraId="05CEDF15" w14:textId="1336C164" w:rsidR="00993C0F" w:rsidRPr="003C4207" w:rsidRDefault="00993C0F">
      <w:pPr>
        <w:pStyle w:val="FootnoteText"/>
        <w:rPr>
          <w:i/>
          <w:iCs/>
          <w:lang w:val="en-GB"/>
        </w:rPr>
      </w:pPr>
      <w:r w:rsidRPr="003C4207">
        <w:rPr>
          <w:rStyle w:val="FootnoteReference"/>
          <w:i/>
          <w:iCs/>
          <w:highlight w:val="yellow"/>
          <w:lang w:val="en-GB"/>
        </w:rPr>
        <w:footnoteRef/>
      </w:r>
      <w:r w:rsidRPr="003C4207">
        <w:rPr>
          <w:i/>
          <w:iCs/>
          <w:highlight w:val="yellow"/>
          <w:lang w:val="en-GB"/>
        </w:rPr>
        <w:t xml:space="preserve"> </w:t>
      </w:r>
      <w:r w:rsidRPr="003C4207">
        <w:rPr>
          <w:highlight w:val="yellow"/>
          <w:lang w:val="en-GB"/>
        </w:rPr>
        <w:t>THET to include</w:t>
      </w:r>
      <w:r>
        <w:rPr>
          <w:highlight w:val="yellow"/>
          <w:lang w:val="en-GB"/>
        </w:rPr>
        <w:t xml:space="preserve"> </w:t>
      </w:r>
      <w:r w:rsidRPr="003C4207">
        <w:rPr>
          <w:highlight w:val="yellow"/>
          <w:lang w:val="en-GB"/>
        </w:rPr>
        <w:t>multiple of grant amount or appropriate cap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1FBD" w14:textId="77777777" w:rsidR="00993C0F" w:rsidRDefault="00993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F563" w14:textId="77777777" w:rsidR="00993C0F" w:rsidRDefault="00993C0F">
    <w:pPr>
      <w:pStyle w:val="Header"/>
    </w:pPr>
    <w:r>
      <w:rPr>
        <w:noProof/>
        <w:lang w:eastAsia="en-GB"/>
      </w:rPr>
      <mc:AlternateContent>
        <mc:Choice Requires="wps">
          <w:drawing>
            <wp:anchor distT="0" distB="0" distL="114300" distR="114300" simplePos="0" relativeHeight="251658241" behindDoc="0" locked="0" layoutInCell="1" allowOverlap="1" wp14:anchorId="7D046034" wp14:editId="2BEBA4F3">
              <wp:simplePos x="0" y="0"/>
              <wp:positionH relativeFrom="column">
                <wp:posOffset>4657090</wp:posOffset>
              </wp:positionH>
              <wp:positionV relativeFrom="paragraph">
                <wp:posOffset>109855</wp:posOffset>
              </wp:positionV>
              <wp:extent cx="1729740" cy="897255"/>
              <wp:effectExtent l="0" t="0" r="4445"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91B1C" w14:textId="219EB520" w:rsidR="00993C0F" w:rsidRPr="006F3836" w:rsidRDefault="00993C0F" w:rsidP="00D443AB">
                          <w:pPr>
                            <w:spacing w:after="0" w:line="240" w:lineRule="auto"/>
                            <w:jc w:val="right"/>
                            <w:rPr>
                              <w:color w:val="00597B"/>
                              <w:w w:val="93"/>
                              <w:sz w:val="20"/>
                              <w:szCs w:val="20"/>
                            </w:rPr>
                          </w:pPr>
                          <w:r>
                            <w:rPr>
                              <w:color w:val="00597B"/>
                              <w:w w:val="93"/>
                              <w:sz w:val="20"/>
                              <w:szCs w:val="20"/>
                            </w:rPr>
                            <w:t>3</w:t>
                          </w:r>
                          <w:r w:rsidRPr="005F21EA">
                            <w:rPr>
                              <w:color w:val="00597B"/>
                              <w:w w:val="93"/>
                              <w:sz w:val="20"/>
                              <w:szCs w:val="20"/>
                            </w:rPr>
                            <w:t>rd</w:t>
                          </w:r>
                          <w:r>
                            <w:rPr>
                              <w:color w:val="00597B"/>
                              <w:w w:val="93"/>
                              <w:sz w:val="20"/>
                              <w:szCs w:val="20"/>
                            </w:rPr>
                            <w:t xml:space="preserve"> Floor, 86 – 90 Paul Street, London, EC2A 4NE</w:t>
                          </w:r>
                          <w:r w:rsidRPr="00B60E63" w:rsidDel="00772348">
                            <w:rPr>
                              <w:color w:val="00597B"/>
                              <w:w w:val="93"/>
                              <w:sz w:val="20"/>
                              <w:szCs w:val="20"/>
                            </w:rPr>
                            <w:t xml:space="preserve"> </w:t>
                          </w:r>
                          <w:r>
                            <w:rPr>
                              <w:color w:val="00597B"/>
                              <w:w w:val="93"/>
                              <w:sz w:val="20"/>
                              <w:szCs w:val="20"/>
                            </w:rPr>
                            <w:t xml:space="preserve">Email </w:t>
                          </w:r>
                          <w:r w:rsidRPr="00BB4724">
                            <w:rPr>
                              <w:color w:val="00597B"/>
                              <w:w w:val="93"/>
                              <w:sz w:val="20"/>
                              <w:szCs w:val="20"/>
                            </w:rPr>
                            <w:t>|</w:t>
                          </w:r>
                          <w:r>
                            <w:rPr>
                              <w:color w:val="00597B"/>
                              <w:w w:val="93"/>
                              <w:sz w:val="20"/>
                              <w:szCs w:val="20"/>
                            </w:rPr>
                            <w:t xml:space="preserve"> grants</w:t>
                          </w:r>
                          <w:r w:rsidRPr="006F3836">
                            <w:rPr>
                              <w:color w:val="00597B"/>
                              <w:w w:val="93"/>
                              <w:sz w:val="20"/>
                              <w:szCs w:val="20"/>
                            </w:rPr>
                            <w:t>@thet.org</w:t>
                          </w:r>
                        </w:p>
                        <w:p w14:paraId="42C1BEFD" w14:textId="77777777" w:rsidR="00993C0F" w:rsidRPr="006F3836" w:rsidRDefault="00993C0F" w:rsidP="00D443AB">
                          <w:pPr>
                            <w:widowControl w:val="0"/>
                            <w:spacing w:after="0" w:line="240" w:lineRule="auto"/>
                            <w:rPr>
                              <w:color w:val="000000"/>
                              <w:w w:val="93"/>
                              <w:sz w:val="20"/>
                              <w:szCs w:val="20"/>
                            </w:rPr>
                          </w:pPr>
                          <w:r w:rsidRPr="006F3836">
                            <w:rPr>
                              <w:w w:val="93"/>
                              <w:sz w:val="20"/>
                              <w:szCs w:val="20"/>
                            </w:rPr>
                            <w:t> </w:t>
                          </w:r>
                        </w:p>
                        <w:p w14:paraId="1DC8C422" w14:textId="77777777" w:rsidR="00993C0F" w:rsidRPr="006F3836" w:rsidRDefault="00993C0F" w:rsidP="00D443AB">
                          <w:pPr>
                            <w:spacing w:after="0" w:line="240" w:lineRule="auto"/>
                            <w:rPr>
                              <w:w w:val="93"/>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46034" id="_x0000_t202" coordsize="21600,21600" o:spt="202" path="m,l,21600r21600,l21600,xe">
              <v:stroke joinstyle="miter"/>
              <v:path gradientshapeok="t" o:connecttype="rect"/>
            </v:shapetype>
            <v:shape id="Text Box 10" o:spid="_x0000_s1026" type="#_x0000_t202" style="position:absolute;margin-left:366.7pt;margin-top:8.65pt;width:136.2pt;height:70.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VyZtQ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uvIMvU7B664HPzPCObTZUdX9rSy/aSTkqqFiy66VkkPDaAXphbaw/tlV&#10;2xCdaguyGT7KCuLQnZEOaKxVZ2sH1UCADm16OLXG5lLakPMomRMwlWBbJPMojl0Imh5v90qb90x2&#10;yC4yrKD1Dp3ub7Wx2dD06GKDCVnwtnXtb8WzA3CcTiA2XLU2m4Xr5mMSJOvFekE8Es3WHgny3Lsu&#10;VsSbFeE8zt/lq1Ue/rRxQ5I2vKqYsGGOygrJn3XuoPFJEydtadnyysLZlLTablatQnsKyi7cdyjI&#10;mZv/PA1XBODyglIYkeAmSrxitph7pCCxl8yDhReEyU0yC0hC8uI5pVsu2L9TQkOGkziKJzH9llvg&#10;vtfcaNpxA7Oj5R0o4uREUyvBtahcaw3l7bQ+K4VN/6kU0O5jo51grUYntZpxMwKKFe5GVg8gXSVB&#10;WSBCGHiwaKT6gdEAwyPD+vuOKoZR+0GA/JOQWK0atyHxPIKNOrdszi1UlACVYYPRtFyZaULtesW3&#10;DUSaHpyQ1/Bkau7U/JTV4aHBgHCkDsPMTqDzvfN6GrnLXwAAAP//AwBQSwMEFAAGAAgAAAAhAF28&#10;DpzeAAAACwEAAA8AAABkcnMvZG93bnJldi54bWxMj81OwzAQhO9IvIO1SNyoTdO0JcSpEIgriP5J&#10;3Nx4m0SN11HsNuHt2Z7gtqP5NDuTr0bXigv2ofGk4XGiQCCV3jZUadhu3h+WIEI0ZE3rCTX8YIBV&#10;cXuTm8z6gb7wso6V4BAKmdFQx9hlUoayRmfCxHdI7B1970xk2VfS9mbgcNfKqVJz6UxD/KE2Hb7W&#10;WJ7WZ6dh93H83s/UZ/Xm0m7wo5LknqTW93fjyzOIiGP8g+Fan6tDwZ0O/kw2iFbDIklmjLKxSEBc&#10;AaVSHnPgK13OQRa5/L+h+AUAAP//AwBQSwECLQAUAAYACAAAACEAtoM4kv4AAADhAQAAEwAAAAAA&#10;AAAAAAAAAAAAAAAAW0NvbnRlbnRfVHlwZXNdLnhtbFBLAQItABQABgAIAAAAIQA4/SH/1gAAAJQB&#10;AAALAAAAAAAAAAAAAAAAAC8BAABfcmVscy8ucmVsc1BLAQItABQABgAIAAAAIQC88VyZtQIAALoF&#10;AAAOAAAAAAAAAAAAAAAAAC4CAABkcnMvZTJvRG9jLnhtbFBLAQItABQABgAIAAAAIQBdvA6c3gAA&#10;AAsBAAAPAAAAAAAAAAAAAAAAAA8FAABkcnMvZG93bnJldi54bWxQSwUGAAAAAAQABADzAAAAGgYA&#10;AAAA&#10;" filled="f" stroked="f">
              <v:textbox>
                <w:txbxContent>
                  <w:p w14:paraId="0DE91B1C" w14:textId="219EB520" w:rsidR="00993C0F" w:rsidRPr="006F3836" w:rsidRDefault="00993C0F" w:rsidP="00D443AB">
                    <w:pPr>
                      <w:spacing w:after="0" w:line="240" w:lineRule="auto"/>
                      <w:jc w:val="right"/>
                      <w:rPr>
                        <w:color w:val="00597B"/>
                        <w:w w:val="93"/>
                        <w:sz w:val="20"/>
                        <w:szCs w:val="20"/>
                      </w:rPr>
                    </w:pPr>
                    <w:r>
                      <w:rPr>
                        <w:color w:val="00597B"/>
                        <w:w w:val="93"/>
                        <w:sz w:val="20"/>
                        <w:szCs w:val="20"/>
                      </w:rPr>
                      <w:t>3</w:t>
                    </w:r>
                    <w:r w:rsidRPr="005F21EA">
                      <w:rPr>
                        <w:color w:val="00597B"/>
                        <w:w w:val="93"/>
                        <w:sz w:val="20"/>
                        <w:szCs w:val="20"/>
                      </w:rPr>
                      <w:t>rd</w:t>
                    </w:r>
                    <w:r>
                      <w:rPr>
                        <w:color w:val="00597B"/>
                        <w:w w:val="93"/>
                        <w:sz w:val="20"/>
                        <w:szCs w:val="20"/>
                      </w:rPr>
                      <w:t xml:space="preserve"> Floor, 86 – 90 Paul Street, London, EC2A 4NE</w:t>
                    </w:r>
                    <w:r w:rsidRPr="00B60E63" w:rsidDel="00772348">
                      <w:rPr>
                        <w:color w:val="00597B"/>
                        <w:w w:val="93"/>
                        <w:sz w:val="20"/>
                        <w:szCs w:val="20"/>
                      </w:rPr>
                      <w:t xml:space="preserve"> </w:t>
                    </w:r>
                    <w:r>
                      <w:rPr>
                        <w:color w:val="00597B"/>
                        <w:w w:val="93"/>
                        <w:sz w:val="20"/>
                        <w:szCs w:val="20"/>
                      </w:rPr>
                      <w:t xml:space="preserve">Email </w:t>
                    </w:r>
                    <w:r w:rsidRPr="00BB4724">
                      <w:rPr>
                        <w:color w:val="00597B"/>
                        <w:w w:val="93"/>
                        <w:sz w:val="20"/>
                        <w:szCs w:val="20"/>
                      </w:rPr>
                      <w:t>|</w:t>
                    </w:r>
                    <w:r>
                      <w:rPr>
                        <w:color w:val="00597B"/>
                        <w:w w:val="93"/>
                        <w:sz w:val="20"/>
                        <w:szCs w:val="20"/>
                      </w:rPr>
                      <w:t xml:space="preserve"> grants</w:t>
                    </w:r>
                    <w:r w:rsidRPr="006F3836">
                      <w:rPr>
                        <w:color w:val="00597B"/>
                        <w:w w:val="93"/>
                        <w:sz w:val="20"/>
                        <w:szCs w:val="20"/>
                      </w:rPr>
                      <w:t>@thet.org</w:t>
                    </w:r>
                  </w:p>
                  <w:p w14:paraId="42C1BEFD" w14:textId="77777777" w:rsidR="00993C0F" w:rsidRPr="006F3836" w:rsidRDefault="00993C0F" w:rsidP="00D443AB">
                    <w:pPr>
                      <w:widowControl w:val="0"/>
                      <w:spacing w:after="0" w:line="240" w:lineRule="auto"/>
                      <w:rPr>
                        <w:color w:val="000000"/>
                        <w:w w:val="93"/>
                        <w:sz w:val="20"/>
                        <w:szCs w:val="20"/>
                      </w:rPr>
                    </w:pPr>
                    <w:r w:rsidRPr="006F3836">
                      <w:rPr>
                        <w:w w:val="93"/>
                        <w:sz w:val="20"/>
                        <w:szCs w:val="20"/>
                      </w:rPr>
                      <w:t> </w:t>
                    </w:r>
                  </w:p>
                  <w:p w14:paraId="1DC8C422" w14:textId="77777777" w:rsidR="00993C0F" w:rsidRPr="006F3836" w:rsidRDefault="00993C0F" w:rsidP="00D443AB">
                    <w:pPr>
                      <w:spacing w:after="0" w:line="240" w:lineRule="auto"/>
                      <w:rPr>
                        <w:w w:val="93"/>
                        <w:sz w:val="20"/>
                        <w:szCs w:val="20"/>
                      </w:rPr>
                    </w:pPr>
                  </w:p>
                </w:txbxContent>
              </v:textbox>
            </v:shape>
          </w:pict>
        </mc:Fallback>
      </mc:AlternateContent>
    </w:r>
    <w:r>
      <w:rPr>
        <w:noProof/>
        <w:lang w:eastAsia="en-GB"/>
      </w:rPr>
      <w:drawing>
        <wp:anchor distT="0" distB="0" distL="114300" distR="114300" simplePos="0" relativeHeight="251658240" behindDoc="0" locked="0" layoutInCell="1" allowOverlap="1" wp14:anchorId="0A23D413" wp14:editId="1B8B8F8E">
          <wp:simplePos x="0" y="0"/>
          <wp:positionH relativeFrom="column">
            <wp:posOffset>-14605</wp:posOffset>
          </wp:positionH>
          <wp:positionV relativeFrom="paragraph">
            <wp:posOffset>100330</wp:posOffset>
          </wp:positionV>
          <wp:extent cx="1947545" cy="866775"/>
          <wp:effectExtent l="0" t="0" r="0" b="9525"/>
          <wp:wrapNone/>
          <wp:docPr id="4" name="Picture 4" descr="THET-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T-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EAD36" w14:textId="77777777" w:rsidR="00993C0F" w:rsidRDefault="00993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3D43" w14:textId="77777777" w:rsidR="00993C0F" w:rsidRDefault="00993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18A3078"/>
    <w:lvl w:ilvl="0">
      <w:start w:val="1"/>
      <w:numFmt w:val="decimal"/>
      <w:pStyle w:val="ListNumber4"/>
      <w:lvlText w:val="%1."/>
      <w:lvlJc w:val="left"/>
      <w:pPr>
        <w:tabs>
          <w:tab w:val="num" w:pos="1209"/>
        </w:tabs>
        <w:ind w:left="1209" w:hanging="360"/>
      </w:pPr>
    </w:lvl>
  </w:abstractNum>
  <w:abstractNum w:abstractNumId="1" w15:restartNumberingAfterBreak="0">
    <w:nsid w:val="04723DB5"/>
    <w:multiLevelType w:val="multilevel"/>
    <w:tmpl w:val="3114315C"/>
    <w:name w:val="Definition Numbering List"/>
    <w:lvl w:ilvl="0">
      <w:start w:val="1"/>
      <w:numFmt w:val="none"/>
      <w:pStyle w:val="BodyTextIndent"/>
      <w:lvlText w:val=""/>
      <w:lvlJc w:val="left"/>
      <w:pPr>
        <w:tabs>
          <w:tab w:val="num" w:pos="720"/>
        </w:tabs>
        <w:ind w:left="720" w:firstLine="0"/>
      </w:pPr>
      <w:rPr>
        <w:rFonts w:hint="default"/>
        <w:caps w:val="0"/>
        <w:effect w:val="none"/>
      </w:rPr>
    </w:lvl>
    <w:lvl w:ilvl="1">
      <w:start w:val="1"/>
      <w:numFmt w:val="none"/>
      <w:pStyle w:val="BodyTextInden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2" w15:restartNumberingAfterBreak="0">
    <w:nsid w:val="04A30EF7"/>
    <w:multiLevelType w:val="hybridMultilevel"/>
    <w:tmpl w:val="391AFB34"/>
    <w:lvl w:ilvl="0" w:tplc="09E299AE">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3" w15:restartNumberingAfterBreak="0">
    <w:nsid w:val="064706BB"/>
    <w:multiLevelType w:val="hybridMultilevel"/>
    <w:tmpl w:val="BBB2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F5C31"/>
    <w:multiLevelType w:val="hybridMultilevel"/>
    <w:tmpl w:val="09B6C9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146CE1"/>
    <w:multiLevelType w:val="hybridMultilevel"/>
    <w:tmpl w:val="7528148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0B2668E4"/>
    <w:multiLevelType w:val="multilevel"/>
    <w:tmpl w:val="AC68A796"/>
    <w:lvl w:ilvl="0">
      <w:start w:val="1"/>
      <w:numFmt w:val="decimal"/>
      <w:lvlText w:val="%1"/>
      <w:lvlJc w:val="left"/>
      <w:pPr>
        <w:tabs>
          <w:tab w:val="num" w:pos="680"/>
        </w:tabs>
        <w:ind w:left="680" w:hanging="680"/>
      </w:pPr>
      <w:rPr>
        <w:rFonts w:hAnsi="Arial" w:cs="Times New Roman"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Letter"/>
      <w:lvlText w:val="(%4)"/>
      <w:lvlJc w:val="left"/>
      <w:pPr>
        <w:tabs>
          <w:tab w:val="num" w:pos="2041"/>
        </w:tabs>
        <w:ind w:left="2041" w:hanging="680"/>
      </w:pPr>
      <w:rPr>
        <w:rFonts w:hint="default"/>
        <w:sz w:val="20"/>
      </w:rPr>
    </w:lvl>
    <w:lvl w:ilvl="4">
      <w:start w:val="1"/>
      <w:numFmt w:val="lowerRoman"/>
      <w:lvlText w:val="(%5)"/>
      <w:lvlJc w:val="left"/>
      <w:pPr>
        <w:tabs>
          <w:tab w:val="num" w:pos="2722"/>
        </w:tabs>
        <w:ind w:left="2722" w:hanging="681"/>
      </w:pPr>
      <w:rPr>
        <w:rFonts w:hint="default"/>
        <w:sz w:val="20"/>
      </w:rPr>
    </w:lvl>
    <w:lvl w:ilvl="5">
      <w:start w:val="1"/>
      <w:numFmt w:val="upperRoman"/>
      <w:lvlText w:val="(%6)"/>
      <w:lvlJc w:val="left"/>
      <w:pPr>
        <w:tabs>
          <w:tab w:val="num" w:pos="3402"/>
        </w:tabs>
        <w:ind w:left="3402" w:hanging="680"/>
      </w:pPr>
      <w:rPr>
        <w:rFonts w:hint="default"/>
        <w:sz w:val="20"/>
      </w:rPr>
    </w:lvl>
    <w:lvl w:ilvl="6">
      <w:start w:val="1"/>
      <w:numFmt w:val="none"/>
      <w:lvlText w:val=""/>
      <w:lvlJc w:val="left"/>
      <w:pPr>
        <w:tabs>
          <w:tab w:val="num" w:pos="3402"/>
        </w:tabs>
        <w:ind w:left="3402" w:hanging="680"/>
      </w:pPr>
      <w:rPr>
        <w:rFonts w:hint="default"/>
      </w:rPr>
    </w:lvl>
    <w:lvl w:ilvl="7">
      <w:start w:val="1"/>
      <w:numFmt w:val="none"/>
      <w:lvlText w:val=""/>
      <w:lvlJc w:val="left"/>
      <w:pPr>
        <w:tabs>
          <w:tab w:val="num" w:pos="3402"/>
        </w:tabs>
        <w:ind w:left="3402" w:hanging="680"/>
      </w:pPr>
      <w:rPr>
        <w:rFonts w:hint="default"/>
      </w:rPr>
    </w:lvl>
    <w:lvl w:ilvl="8">
      <w:start w:val="1"/>
      <w:numFmt w:val="none"/>
      <w:lvlText w:val=""/>
      <w:lvlJc w:val="left"/>
      <w:pPr>
        <w:tabs>
          <w:tab w:val="num" w:pos="3402"/>
        </w:tabs>
        <w:ind w:left="3402" w:hanging="680"/>
      </w:pPr>
      <w:rPr>
        <w:rFonts w:hint="default"/>
      </w:rPr>
    </w:lvl>
  </w:abstractNum>
  <w:abstractNum w:abstractNumId="7" w15:restartNumberingAfterBreak="0">
    <w:nsid w:val="0ED12275"/>
    <w:multiLevelType w:val="hybridMultilevel"/>
    <w:tmpl w:val="D84210FA"/>
    <w:lvl w:ilvl="0" w:tplc="DEE0D0CC">
      <w:start w:val="1"/>
      <w:numFmt w:val="lowerLetter"/>
      <w:lvlText w:val="%1."/>
      <w:lvlJc w:val="left"/>
      <w:pPr>
        <w:ind w:left="3240" w:hanging="360"/>
      </w:pPr>
      <w:rPr>
        <w:b/>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8" w15:restartNumberingAfterBreak="0">
    <w:nsid w:val="153A79DF"/>
    <w:multiLevelType w:val="multilevel"/>
    <w:tmpl w:val="C0F2BE68"/>
    <w:lvl w:ilvl="0">
      <w:start w:val="1"/>
      <w:numFmt w:val="decimal"/>
      <w:pStyle w:val="MRNoHead1"/>
      <w:lvlText w:val="%1"/>
      <w:lvlJc w:val="left"/>
      <w:pPr>
        <w:tabs>
          <w:tab w:val="num" w:pos="720"/>
        </w:tabs>
        <w:ind w:left="720" w:hanging="720"/>
      </w:pPr>
      <w:rPr>
        <w:rFonts w:cs="Times New Roman" w:hint="default"/>
        <w:b w:val="0"/>
        <w:i w:val="0"/>
        <w:caps w:val="0"/>
        <w:small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rPr>
        <w:rFonts w:cs="Times New Roman" w:hint="default"/>
        <w:b w:val="0"/>
      </w:rPr>
    </w:lvl>
    <w:lvl w:ilvl="2">
      <w:start w:val="1"/>
      <w:numFmt w:val="decimal"/>
      <w:pStyle w:val="MRNoHead3"/>
      <w:lvlText w:val="%1.%2.%3"/>
      <w:lvlJc w:val="left"/>
      <w:pPr>
        <w:tabs>
          <w:tab w:val="num" w:pos="2520"/>
        </w:tabs>
        <w:ind w:left="2520" w:hanging="1080"/>
      </w:pPr>
      <w:rPr>
        <w:rFonts w:cs="Times New Roman" w:hint="default"/>
      </w:rPr>
    </w:lvl>
    <w:lvl w:ilvl="3">
      <w:start w:val="1"/>
      <w:numFmt w:val="lowerRoman"/>
      <w:pStyle w:val="MRNoHead4"/>
      <w:lvlText w:val="(%4)"/>
      <w:lvlJc w:val="left"/>
      <w:pPr>
        <w:tabs>
          <w:tab w:val="num" w:pos="3240"/>
        </w:tabs>
        <w:ind w:left="3240" w:hanging="720"/>
      </w:pPr>
      <w:rPr>
        <w:rFonts w:cs="Times New Roman" w:hint="default"/>
        <w:b w:val="0"/>
        <w:i w:val="0"/>
        <w:caps w:val="0"/>
        <w:small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rFonts w:cs="Times New Roman" w:hint="default"/>
        <w:b w:val="0"/>
        <w:i w:val="0"/>
        <w:sz w:val="22"/>
        <w:szCs w:val="22"/>
        <w:u w:val="none"/>
      </w:rPr>
    </w:lvl>
    <w:lvl w:ilvl="5">
      <w:start w:val="1"/>
      <w:numFmt w:val="decimal"/>
      <w:pStyle w:val="MRNoHead6"/>
      <w:lvlText w:val="%6)"/>
      <w:lvlJc w:val="left"/>
      <w:pPr>
        <w:tabs>
          <w:tab w:val="num" w:pos="4680"/>
        </w:tabs>
        <w:ind w:left="4680" w:hanging="720"/>
      </w:pPr>
      <w:rPr>
        <w:rFonts w:cs="Times New Roman" w:hint="default"/>
        <w:b w:val="0"/>
        <w:i w:val="0"/>
        <w:sz w:val="22"/>
        <w:szCs w:val="22"/>
        <w:u w:val="none"/>
      </w:rPr>
    </w:lvl>
    <w:lvl w:ilvl="6">
      <w:start w:val="1"/>
      <w:numFmt w:val="lowerLetter"/>
      <w:pStyle w:val="MRNoHead7"/>
      <w:lvlText w:val="(%7)"/>
      <w:lvlJc w:val="left"/>
      <w:pPr>
        <w:tabs>
          <w:tab w:val="num" w:pos="5400"/>
        </w:tabs>
        <w:ind w:left="5400" w:hanging="720"/>
      </w:pPr>
      <w:rPr>
        <w:rFonts w:cs="Times New Roman" w:hint="default"/>
      </w:rPr>
    </w:lvl>
    <w:lvl w:ilvl="7">
      <w:start w:val="1"/>
      <w:numFmt w:val="lowerRoman"/>
      <w:pStyle w:val="MRNoHead8"/>
      <w:lvlText w:val="%8)"/>
      <w:lvlJc w:val="left"/>
      <w:pPr>
        <w:tabs>
          <w:tab w:val="num" w:pos="6120"/>
        </w:tabs>
        <w:ind w:left="6120" w:hanging="720"/>
      </w:pPr>
      <w:rPr>
        <w:rFonts w:cs="Times New Roman" w:hint="default"/>
      </w:rPr>
    </w:lvl>
    <w:lvl w:ilvl="8">
      <w:start w:val="1"/>
      <w:numFmt w:val="upperLetter"/>
      <w:pStyle w:val="MRNoHead9"/>
      <w:lvlText w:val="%9)"/>
      <w:lvlJc w:val="left"/>
      <w:pPr>
        <w:tabs>
          <w:tab w:val="num" w:pos="6840"/>
        </w:tabs>
        <w:ind w:left="6840" w:hanging="720"/>
      </w:pPr>
      <w:rPr>
        <w:rFonts w:cs="Times New Roman" w:hint="default"/>
      </w:rPr>
    </w:lvl>
  </w:abstractNum>
  <w:abstractNum w:abstractNumId="9" w15:restartNumberingAfterBreak="0">
    <w:nsid w:val="1EA604E3"/>
    <w:multiLevelType w:val="multilevel"/>
    <w:tmpl w:val="27927EEC"/>
    <w:lvl w:ilvl="0">
      <w:start w:val="1"/>
      <w:numFmt w:val="decimal"/>
      <w:pStyle w:val="MRheading1"/>
      <w:lvlText w:val="%1"/>
      <w:lvlJc w:val="left"/>
      <w:pPr>
        <w:tabs>
          <w:tab w:val="num" w:pos="1430"/>
        </w:tabs>
        <w:ind w:left="1430" w:hanging="720"/>
      </w:pPr>
      <w:rPr>
        <w:rFonts w:cs="Times New Roman"/>
        <w:b/>
        <w:u w:val="none"/>
      </w:rPr>
    </w:lvl>
    <w:lvl w:ilvl="1">
      <w:start w:val="1"/>
      <w:numFmt w:val="decimal"/>
      <w:pStyle w:val="MRheading2"/>
      <w:lvlText w:val="%1.%2"/>
      <w:lvlJc w:val="left"/>
      <w:pPr>
        <w:tabs>
          <w:tab w:val="num" w:pos="1430"/>
        </w:tabs>
        <w:ind w:left="1430" w:hanging="720"/>
      </w:pPr>
      <w:rPr>
        <w:rFonts w:ascii="Arial" w:hAnsi="Arial" w:cs="Arial" w:hint="default"/>
        <w:b w:val="0"/>
        <w:u w:val="none"/>
      </w:rPr>
    </w:lvl>
    <w:lvl w:ilvl="2">
      <w:start w:val="1"/>
      <w:numFmt w:val="decimal"/>
      <w:pStyle w:val="MRheading3"/>
      <w:lvlText w:val="%1.%2.%3"/>
      <w:lvlJc w:val="left"/>
      <w:pPr>
        <w:tabs>
          <w:tab w:val="num" w:pos="2073"/>
        </w:tabs>
        <w:ind w:left="2073" w:hanging="1080"/>
      </w:pPr>
      <w:rPr>
        <w:rFonts w:cs="Times New Roman"/>
        <w:b w:val="0"/>
        <w:u w:val="none"/>
      </w:rPr>
    </w:lvl>
    <w:lvl w:ilvl="3">
      <w:start w:val="1"/>
      <w:numFmt w:val="lowerRoman"/>
      <w:pStyle w:val="MRheading4"/>
      <w:lvlText w:val="(%4)"/>
      <w:lvlJc w:val="left"/>
      <w:pPr>
        <w:tabs>
          <w:tab w:val="num" w:pos="2520"/>
        </w:tabs>
        <w:ind w:left="2520" w:hanging="720"/>
      </w:pPr>
      <w:rPr>
        <w:rFonts w:cs="Times New Roman"/>
        <w:u w:val="none"/>
      </w:rPr>
    </w:lvl>
    <w:lvl w:ilvl="4">
      <w:start w:val="1"/>
      <w:numFmt w:val="upperLetter"/>
      <w:pStyle w:val="MRheading5"/>
      <w:lvlText w:val="(%5)"/>
      <w:lvlJc w:val="left"/>
      <w:pPr>
        <w:tabs>
          <w:tab w:val="num" w:pos="3240"/>
        </w:tabs>
        <w:ind w:left="3240" w:hanging="720"/>
      </w:pPr>
      <w:rPr>
        <w:rFonts w:cs="Times New Roman"/>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0" w15:restartNumberingAfterBreak="0">
    <w:nsid w:val="225B3380"/>
    <w:multiLevelType w:val="hybridMultilevel"/>
    <w:tmpl w:val="D83E8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A960C8"/>
    <w:multiLevelType w:val="multilevel"/>
    <w:tmpl w:val="4B4288F0"/>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pStyle w:val="ScheduleL8"/>
      <w:lvlText w:val=""/>
      <w:lvlJc w:val="left"/>
      <w:pPr>
        <w:tabs>
          <w:tab w:val="num" w:pos="4320"/>
        </w:tabs>
        <w:ind w:left="4320" w:hanging="720"/>
      </w:pPr>
      <w:rPr>
        <w:rFonts w:hint="default"/>
        <w:caps w:val="0"/>
        <w:effect w:val="none"/>
      </w:rPr>
    </w:lvl>
    <w:lvl w:ilvl="8">
      <w:start w:val="1"/>
      <w:numFmt w:val="none"/>
      <w:pStyle w:val="ScheduleL9"/>
      <w:lvlText w:val=""/>
      <w:lvlJc w:val="left"/>
      <w:pPr>
        <w:tabs>
          <w:tab w:val="num" w:pos="4320"/>
        </w:tabs>
        <w:ind w:left="4320" w:hanging="720"/>
      </w:pPr>
      <w:rPr>
        <w:rFonts w:hint="default"/>
        <w:caps w:val="0"/>
        <w:effect w:val="none"/>
      </w:rPr>
    </w:lvl>
  </w:abstractNum>
  <w:abstractNum w:abstractNumId="12" w15:restartNumberingAfterBreak="0">
    <w:nsid w:val="2E8B52CC"/>
    <w:multiLevelType w:val="hybridMultilevel"/>
    <w:tmpl w:val="6386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460FB"/>
    <w:multiLevelType w:val="hybridMultilevel"/>
    <w:tmpl w:val="F0AA3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052584"/>
    <w:multiLevelType w:val="multilevel"/>
    <w:tmpl w:val="2D601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15" w15:restartNumberingAfterBreak="0">
    <w:nsid w:val="33404999"/>
    <w:multiLevelType w:val="hybridMultilevel"/>
    <w:tmpl w:val="7C682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211241"/>
    <w:multiLevelType w:val="hybridMultilevel"/>
    <w:tmpl w:val="360A8D5A"/>
    <w:lvl w:ilvl="0" w:tplc="01520DA0">
      <w:start w:val="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15B88"/>
    <w:multiLevelType w:val="hybridMultilevel"/>
    <w:tmpl w:val="935CC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764830"/>
    <w:multiLevelType w:val="multilevel"/>
    <w:tmpl w:val="4F4EF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0FC1898"/>
    <w:multiLevelType w:val="hybridMultilevel"/>
    <w:tmpl w:val="07EC3C8A"/>
    <w:lvl w:ilvl="0" w:tplc="0809000F">
      <w:start w:val="1"/>
      <w:numFmt w:val="decimal"/>
      <w:lvlText w:val="%1."/>
      <w:lvlJc w:val="left"/>
      <w:pPr>
        <w:ind w:left="720" w:hanging="360"/>
      </w:pPr>
    </w:lvl>
    <w:lvl w:ilvl="1" w:tplc="F5C08812">
      <w:start w:val="1"/>
      <w:numFmt w:val="decimal"/>
      <w:lvlText w:val="%2."/>
      <w:lvlJc w:val="left"/>
      <w:pPr>
        <w:ind w:left="502" w:hanging="360"/>
      </w:pPr>
      <w:rPr>
        <w:rFonts w:ascii="Arial" w:hAnsi="Arial" w:cs="Arial" w:hint="default"/>
        <w:b w:val="0"/>
        <w:color w:val="auto"/>
        <w:sz w:val="20"/>
        <w:szCs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200365"/>
    <w:multiLevelType w:val="multilevel"/>
    <w:tmpl w:val="80C471B0"/>
    <w:name w:val="Plato Heading List"/>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0"/>
        </w:tabs>
        <w:ind w:left="4320" w:hanging="720"/>
      </w:pPr>
      <w:rPr>
        <w:rFonts w:hint="default"/>
        <w:caps w:val="0"/>
        <w:effect w:val="none"/>
      </w:rPr>
    </w:lvl>
    <w:lvl w:ilvl="7">
      <w:start w:val="1"/>
      <w:numFmt w:val="none"/>
      <w:lvlText w:val=""/>
      <w:lvlJc w:val="left"/>
      <w:pPr>
        <w:tabs>
          <w:tab w:val="num" w:pos="4320"/>
        </w:tabs>
        <w:ind w:left="4320" w:hanging="720"/>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21" w15:restartNumberingAfterBreak="0">
    <w:nsid w:val="54756313"/>
    <w:multiLevelType w:val="multilevel"/>
    <w:tmpl w:val="3362C830"/>
    <w:lvl w:ilvl="0">
      <w:start w:val="1"/>
      <w:numFmt w:val="decimal"/>
      <w:pStyle w:val="Level1"/>
      <w:lvlText w:val="%1"/>
      <w:lvlJc w:val="left"/>
      <w:pPr>
        <w:tabs>
          <w:tab w:val="num" w:pos="720"/>
        </w:tabs>
        <w:ind w:left="720" w:hanging="720"/>
      </w:pPr>
      <w:rPr>
        <w:rFonts w:ascii="Arial" w:hAnsi="Arial" w:hint="default"/>
        <w:sz w:val="22"/>
        <w:szCs w:val="22"/>
      </w:rPr>
    </w:lvl>
    <w:lvl w:ilvl="1">
      <w:start w:val="1"/>
      <w:numFmt w:val="decimal"/>
      <w:pStyle w:val="Level2"/>
      <w:lvlText w:val="%1.%2"/>
      <w:lvlJc w:val="left"/>
      <w:pPr>
        <w:tabs>
          <w:tab w:val="num" w:pos="720"/>
        </w:tabs>
        <w:ind w:left="720" w:hanging="720"/>
      </w:pPr>
      <w:rPr>
        <w:rFonts w:ascii="Arial" w:hAnsi="Arial" w:hint="default"/>
        <w:b/>
        <w:sz w:val="22"/>
        <w:szCs w:val="22"/>
      </w:rPr>
    </w:lvl>
    <w:lvl w:ilvl="2">
      <w:start w:val="1"/>
      <w:numFmt w:val="lowerLetter"/>
      <w:pStyle w:val="Level3"/>
      <w:lvlText w:val="(%3)"/>
      <w:lvlJc w:val="left"/>
      <w:pPr>
        <w:tabs>
          <w:tab w:val="num" w:pos="1350"/>
        </w:tabs>
        <w:ind w:left="1350" w:hanging="720"/>
      </w:pPr>
      <w:rPr>
        <w:rFonts w:ascii="Arial" w:hAnsi="Arial" w:hint="default"/>
        <w:b w:val="0"/>
        <w:color w:val="000000"/>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15:restartNumberingAfterBreak="0">
    <w:nsid w:val="610953B2"/>
    <w:multiLevelType w:val="multilevel"/>
    <w:tmpl w:val="598CC09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C13C84"/>
    <w:multiLevelType w:val="hybridMultilevel"/>
    <w:tmpl w:val="CD54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25" w15:restartNumberingAfterBreak="0">
    <w:nsid w:val="725755AB"/>
    <w:multiLevelType w:val="hybridMultilevel"/>
    <w:tmpl w:val="780CD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7" w15:restartNumberingAfterBreak="0">
    <w:nsid w:val="772936E4"/>
    <w:multiLevelType w:val="multilevel"/>
    <w:tmpl w:val="24565E4A"/>
    <w:lvl w:ilvl="0">
      <w:start w:val="1"/>
      <w:numFmt w:val="decimal"/>
      <w:pStyle w:val="GPSL1CLAUSEHEADING"/>
      <w:lvlText w:val="%1."/>
      <w:lvlJc w:val="left"/>
      <w:pPr>
        <w:ind w:left="1070" w:hanging="360"/>
      </w:pPr>
      <w:rPr>
        <w:rFonts w:hint="default"/>
        <w:i w:val="0"/>
      </w:rPr>
    </w:lvl>
    <w:lvl w:ilvl="1">
      <w:start w:val="5"/>
      <w:numFmt w:val="decimal"/>
      <w:pStyle w:val="GPSL2numberedclause"/>
      <w:isLgl/>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22"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6F1B5B"/>
    <w:multiLevelType w:val="multilevel"/>
    <w:tmpl w:val="736099F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85030403">
    <w:abstractNumId w:val="23"/>
  </w:num>
  <w:num w:numId="2" w16cid:durableId="1746032926">
    <w:abstractNumId w:val="5"/>
  </w:num>
  <w:num w:numId="3" w16cid:durableId="127211919">
    <w:abstractNumId w:val="3"/>
  </w:num>
  <w:num w:numId="4" w16cid:durableId="654577290">
    <w:abstractNumId w:val="9"/>
  </w:num>
  <w:num w:numId="5" w16cid:durableId="1631933183">
    <w:abstractNumId w:val="8"/>
  </w:num>
  <w:num w:numId="6" w16cid:durableId="1939869383">
    <w:abstractNumId w:val="26"/>
  </w:num>
  <w:num w:numId="7" w16cid:durableId="18660969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7779214">
    <w:abstractNumId w:val="17"/>
  </w:num>
  <w:num w:numId="9" w16cid:durableId="1693535949">
    <w:abstractNumId w:val="4"/>
  </w:num>
  <w:num w:numId="10" w16cid:durableId="326130476">
    <w:abstractNumId w:val="2"/>
  </w:num>
  <w:num w:numId="11" w16cid:durableId="2101943529">
    <w:abstractNumId w:val="13"/>
  </w:num>
  <w:num w:numId="12" w16cid:durableId="1423062428">
    <w:abstractNumId w:val="24"/>
  </w:num>
  <w:num w:numId="13" w16cid:durableId="220747888">
    <w:abstractNumId w:val="8"/>
  </w:num>
  <w:num w:numId="14" w16cid:durableId="1465929828">
    <w:abstractNumId w:val="15"/>
  </w:num>
  <w:num w:numId="15" w16cid:durableId="402458034">
    <w:abstractNumId w:val="9"/>
  </w:num>
  <w:num w:numId="16" w16cid:durableId="2024282604">
    <w:abstractNumId w:val="22"/>
  </w:num>
  <w:num w:numId="17" w16cid:durableId="809247914">
    <w:abstractNumId w:val="21"/>
  </w:num>
  <w:num w:numId="18" w16cid:durableId="11190306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8832781">
    <w:abstractNumId w:val="14"/>
  </w:num>
  <w:num w:numId="20" w16cid:durableId="258415472">
    <w:abstractNumId w:val="9"/>
  </w:num>
  <w:num w:numId="21" w16cid:durableId="1874343595">
    <w:abstractNumId w:val="9"/>
  </w:num>
  <w:num w:numId="22" w16cid:durableId="592513568">
    <w:abstractNumId w:val="9"/>
  </w:num>
  <w:num w:numId="23" w16cid:durableId="169638950">
    <w:abstractNumId w:val="9"/>
  </w:num>
  <w:num w:numId="24" w16cid:durableId="199440484">
    <w:abstractNumId w:val="9"/>
  </w:num>
  <w:num w:numId="25" w16cid:durableId="2049836658">
    <w:abstractNumId w:val="9"/>
  </w:num>
  <w:num w:numId="26" w16cid:durableId="437872060">
    <w:abstractNumId w:val="27"/>
  </w:num>
  <w:num w:numId="27" w16cid:durableId="1449664484">
    <w:abstractNumId w:val="28"/>
  </w:num>
  <w:num w:numId="28" w16cid:durableId="683433601">
    <w:abstractNumId w:val="9"/>
  </w:num>
  <w:num w:numId="29" w16cid:durableId="1436754468">
    <w:abstractNumId w:val="9"/>
  </w:num>
  <w:num w:numId="30" w16cid:durableId="1617829375">
    <w:abstractNumId w:val="9"/>
  </w:num>
  <w:num w:numId="31" w16cid:durableId="1539508854">
    <w:abstractNumId w:val="9"/>
  </w:num>
  <w:num w:numId="32" w16cid:durableId="154615627">
    <w:abstractNumId w:val="9"/>
  </w:num>
  <w:num w:numId="33" w16cid:durableId="459694357">
    <w:abstractNumId w:val="9"/>
  </w:num>
  <w:num w:numId="34" w16cid:durableId="2048026070">
    <w:abstractNumId w:val="9"/>
  </w:num>
  <w:num w:numId="35" w16cid:durableId="346251008">
    <w:abstractNumId w:val="9"/>
  </w:num>
  <w:num w:numId="36" w16cid:durableId="2129084723">
    <w:abstractNumId w:val="9"/>
  </w:num>
  <w:num w:numId="37" w16cid:durableId="122626582">
    <w:abstractNumId w:val="9"/>
  </w:num>
  <w:num w:numId="38" w16cid:durableId="1094203066">
    <w:abstractNumId w:val="9"/>
  </w:num>
  <w:num w:numId="39" w16cid:durableId="448478893">
    <w:abstractNumId w:val="9"/>
  </w:num>
  <w:num w:numId="40" w16cid:durableId="1383863482">
    <w:abstractNumId w:val="9"/>
  </w:num>
  <w:num w:numId="41" w16cid:durableId="968508871">
    <w:abstractNumId w:val="9"/>
  </w:num>
  <w:num w:numId="42" w16cid:durableId="1012604324">
    <w:abstractNumId w:val="9"/>
  </w:num>
  <w:num w:numId="43" w16cid:durableId="1095978261">
    <w:abstractNumId w:val="9"/>
  </w:num>
  <w:num w:numId="44" w16cid:durableId="2049135548">
    <w:abstractNumId w:val="9"/>
  </w:num>
  <w:num w:numId="45" w16cid:durableId="889220090">
    <w:abstractNumId w:val="9"/>
  </w:num>
  <w:num w:numId="46" w16cid:durableId="516120562">
    <w:abstractNumId w:val="9"/>
  </w:num>
  <w:num w:numId="47" w16cid:durableId="989215890">
    <w:abstractNumId w:val="9"/>
  </w:num>
  <w:num w:numId="48" w16cid:durableId="868908972">
    <w:abstractNumId w:val="20"/>
  </w:num>
  <w:num w:numId="49" w16cid:durableId="2133940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29894753">
    <w:abstractNumId w:val="11"/>
  </w:num>
  <w:num w:numId="51" w16cid:durableId="302975931">
    <w:abstractNumId w:val="9"/>
  </w:num>
  <w:num w:numId="52" w16cid:durableId="1790078082">
    <w:abstractNumId w:val="9"/>
  </w:num>
  <w:num w:numId="53" w16cid:durableId="968971838">
    <w:abstractNumId w:val="9"/>
  </w:num>
  <w:num w:numId="54" w16cid:durableId="38364500">
    <w:abstractNumId w:val="9"/>
  </w:num>
  <w:num w:numId="55" w16cid:durableId="1210411860">
    <w:abstractNumId w:val="9"/>
  </w:num>
  <w:num w:numId="56" w16cid:durableId="312023841">
    <w:abstractNumId w:val="9"/>
  </w:num>
  <w:num w:numId="57" w16cid:durableId="150416140">
    <w:abstractNumId w:val="9"/>
  </w:num>
  <w:num w:numId="58" w16cid:durableId="865411781">
    <w:abstractNumId w:val="0"/>
  </w:num>
  <w:num w:numId="59" w16cid:durableId="1441872578">
    <w:abstractNumId w:val="1"/>
  </w:num>
  <w:num w:numId="60" w16cid:durableId="546843635">
    <w:abstractNumId w:val="9"/>
  </w:num>
  <w:num w:numId="61" w16cid:durableId="778066384">
    <w:abstractNumId w:val="8"/>
    <w:lvlOverride w:ilvl="0">
      <w:lvl w:ilvl="0">
        <w:start w:val="1"/>
        <w:numFmt w:val="decimal"/>
        <w:pStyle w:val="MRNoHead1"/>
        <w:lvlText w:val="%1"/>
        <w:lvlJc w:val="left"/>
        <w:pPr>
          <w:tabs>
            <w:tab w:val="num" w:pos="720"/>
          </w:tabs>
          <w:ind w:left="720" w:hanging="720"/>
        </w:pPr>
        <w:rPr>
          <w:rFonts w:cs="Times New Roman" w:hint="default"/>
          <w:b w:val="0"/>
          <w:i w:val="0"/>
          <w:caps w:val="0"/>
          <w:smallCaps w:val="0"/>
          <w:strike w:val="0"/>
          <w:dstrike w:val="0"/>
          <w:vanish w:val="0"/>
          <w:color w:val="auto"/>
          <w:sz w:val="22"/>
          <w:szCs w:val="22"/>
          <w:vertAlign w:val="baseline"/>
        </w:rPr>
      </w:lvl>
    </w:lvlOverride>
    <w:lvlOverride w:ilvl="1">
      <w:lvl w:ilvl="1">
        <w:start w:val="1"/>
        <w:numFmt w:val="decimal"/>
        <w:pStyle w:val="MRNoHead2"/>
        <w:lvlText w:val="%1.%2"/>
        <w:lvlJc w:val="left"/>
        <w:pPr>
          <w:tabs>
            <w:tab w:val="num" w:pos="1440"/>
          </w:tabs>
          <w:ind w:left="1440" w:hanging="720"/>
        </w:pPr>
        <w:rPr>
          <w:rFonts w:cs="Times New Roman" w:hint="default"/>
          <w:b w:val="0"/>
        </w:rPr>
      </w:lvl>
    </w:lvlOverride>
    <w:lvlOverride w:ilvl="2">
      <w:lvl w:ilvl="2">
        <w:start w:val="1"/>
        <w:numFmt w:val="decimal"/>
        <w:pStyle w:val="MRNoHead3"/>
        <w:lvlText w:val="%1.%2.%3"/>
        <w:lvlJc w:val="left"/>
        <w:pPr>
          <w:tabs>
            <w:tab w:val="num" w:pos="2520"/>
          </w:tabs>
          <w:ind w:left="2520" w:hanging="1080"/>
        </w:pPr>
        <w:rPr>
          <w:rFonts w:cs="Times New Roman" w:hint="default"/>
        </w:rPr>
      </w:lvl>
    </w:lvlOverride>
    <w:lvlOverride w:ilvl="3">
      <w:lvl w:ilvl="3">
        <w:start w:val="1"/>
        <w:numFmt w:val="lowerRoman"/>
        <w:pStyle w:val="MRNoHead4"/>
        <w:lvlText w:val="(%4)"/>
        <w:lvlJc w:val="left"/>
        <w:pPr>
          <w:tabs>
            <w:tab w:val="num" w:pos="3240"/>
          </w:tabs>
          <w:ind w:left="3240" w:hanging="720"/>
        </w:pPr>
        <w:rPr>
          <w:rFonts w:cs="Times New Roman" w:hint="default"/>
          <w:b w:val="0"/>
          <w:i w:val="0"/>
          <w:caps w:val="0"/>
          <w:smallCaps w:val="0"/>
          <w:strike w:val="0"/>
          <w:dstrike w:val="0"/>
          <w:vanish w:val="0"/>
          <w:color w:val="auto"/>
          <w:sz w:val="22"/>
          <w:szCs w:val="22"/>
          <w:u w:val="none"/>
          <w:vertAlign w:val="baseline"/>
        </w:rPr>
      </w:lvl>
    </w:lvlOverride>
    <w:lvlOverride w:ilvl="4">
      <w:lvl w:ilvl="4">
        <w:start w:val="1"/>
        <w:numFmt w:val="upperLetter"/>
        <w:pStyle w:val="MRNoHead5"/>
        <w:lvlText w:val="(%5)"/>
        <w:lvlJc w:val="left"/>
        <w:pPr>
          <w:tabs>
            <w:tab w:val="num" w:pos="3960"/>
          </w:tabs>
          <w:ind w:left="3960" w:hanging="720"/>
        </w:pPr>
        <w:rPr>
          <w:rFonts w:cs="Times New Roman" w:hint="default"/>
          <w:b w:val="0"/>
          <w:i w:val="0"/>
          <w:sz w:val="22"/>
          <w:szCs w:val="22"/>
          <w:u w:val="none"/>
        </w:rPr>
      </w:lvl>
    </w:lvlOverride>
    <w:lvlOverride w:ilvl="5">
      <w:lvl w:ilvl="5">
        <w:start w:val="1"/>
        <w:numFmt w:val="decimal"/>
        <w:pStyle w:val="MRNoHead6"/>
        <w:lvlText w:val="%6)"/>
        <w:lvlJc w:val="left"/>
        <w:pPr>
          <w:tabs>
            <w:tab w:val="num" w:pos="4680"/>
          </w:tabs>
          <w:ind w:left="4680" w:hanging="720"/>
        </w:pPr>
        <w:rPr>
          <w:rFonts w:cs="Times New Roman" w:hint="default"/>
          <w:b w:val="0"/>
          <w:i w:val="0"/>
          <w:sz w:val="22"/>
          <w:szCs w:val="22"/>
          <w:u w:val="none"/>
        </w:rPr>
      </w:lvl>
    </w:lvlOverride>
    <w:lvlOverride w:ilvl="6">
      <w:lvl w:ilvl="6">
        <w:start w:val="1"/>
        <w:numFmt w:val="lowerLetter"/>
        <w:pStyle w:val="MRNoHead7"/>
        <w:lvlText w:val="(%7)"/>
        <w:lvlJc w:val="left"/>
        <w:pPr>
          <w:tabs>
            <w:tab w:val="num" w:pos="5400"/>
          </w:tabs>
          <w:ind w:left="5400" w:hanging="720"/>
        </w:pPr>
        <w:rPr>
          <w:rFonts w:cs="Times New Roman" w:hint="default"/>
        </w:rPr>
      </w:lvl>
    </w:lvlOverride>
    <w:lvlOverride w:ilvl="7">
      <w:lvl w:ilvl="7">
        <w:start w:val="1"/>
        <w:numFmt w:val="lowerRoman"/>
        <w:pStyle w:val="MRNoHead8"/>
        <w:lvlText w:val="(%8)"/>
        <w:lvlJc w:val="left"/>
        <w:pPr>
          <w:tabs>
            <w:tab w:val="num" w:pos="6120"/>
          </w:tabs>
          <w:ind w:left="6120" w:hanging="720"/>
        </w:pPr>
        <w:rPr>
          <w:rFonts w:cs="Times New Roman" w:hint="default"/>
        </w:rPr>
      </w:lvl>
    </w:lvlOverride>
    <w:lvlOverride w:ilvl="8">
      <w:lvl w:ilvl="8">
        <w:start w:val="1"/>
        <w:numFmt w:val="upperLetter"/>
        <w:pStyle w:val="MRNoHead9"/>
        <w:lvlText w:val="%9)"/>
        <w:lvlJc w:val="left"/>
        <w:pPr>
          <w:tabs>
            <w:tab w:val="num" w:pos="6840"/>
          </w:tabs>
          <w:ind w:left="6840" w:hanging="720"/>
        </w:pPr>
        <w:rPr>
          <w:rFonts w:cs="Times New Roman" w:hint="default"/>
        </w:rPr>
      </w:lvl>
    </w:lvlOverride>
  </w:num>
  <w:num w:numId="62" w16cid:durableId="1182823140">
    <w:abstractNumId w:val="8"/>
  </w:num>
  <w:num w:numId="63" w16cid:durableId="1677611356">
    <w:abstractNumId w:val="8"/>
  </w:num>
  <w:num w:numId="64" w16cid:durableId="437066543">
    <w:abstractNumId w:val="8"/>
  </w:num>
  <w:num w:numId="65" w16cid:durableId="1211189208">
    <w:abstractNumId w:val="18"/>
  </w:num>
  <w:num w:numId="66" w16cid:durableId="680665763">
    <w:abstractNumId w:val="9"/>
  </w:num>
  <w:num w:numId="67" w16cid:durableId="2040276521">
    <w:abstractNumId w:val="9"/>
  </w:num>
  <w:num w:numId="68" w16cid:durableId="1894389596">
    <w:abstractNumId w:val="9"/>
  </w:num>
  <w:num w:numId="69" w16cid:durableId="758212124">
    <w:abstractNumId w:val="9"/>
  </w:num>
  <w:num w:numId="70" w16cid:durableId="1590700797">
    <w:abstractNumId w:val="9"/>
  </w:num>
  <w:num w:numId="71" w16cid:durableId="1938825627">
    <w:abstractNumId w:val="9"/>
  </w:num>
  <w:num w:numId="72" w16cid:durableId="2038774946">
    <w:abstractNumId w:val="9"/>
  </w:num>
  <w:num w:numId="73" w16cid:durableId="663359162">
    <w:abstractNumId w:val="9"/>
  </w:num>
  <w:num w:numId="74" w16cid:durableId="650907493">
    <w:abstractNumId w:val="9"/>
  </w:num>
  <w:num w:numId="75" w16cid:durableId="717969731">
    <w:abstractNumId w:val="9"/>
  </w:num>
  <w:num w:numId="76" w16cid:durableId="1857303074">
    <w:abstractNumId w:val="9"/>
  </w:num>
  <w:num w:numId="77" w16cid:durableId="774399000">
    <w:abstractNumId w:val="9"/>
  </w:num>
  <w:num w:numId="78" w16cid:durableId="1733694693">
    <w:abstractNumId w:val="9"/>
  </w:num>
  <w:num w:numId="79" w16cid:durableId="838735625">
    <w:abstractNumId w:val="9"/>
  </w:num>
  <w:num w:numId="80" w16cid:durableId="877668471">
    <w:abstractNumId w:val="9"/>
  </w:num>
  <w:num w:numId="81" w16cid:durableId="1438452180">
    <w:abstractNumId w:val="9"/>
  </w:num>
  <w:num w:numId="82" w16cid:durableId="1929654551">
    <w:abstractNumId w:val="9"/>
  </w:num>
  <w:num w:numId="83" w16cid:durableId="748963110">
    <w:abstractNumId w:val="9"/>
  </w:num>
  <w:num w:numId="84" w16cid:durableId="1082990414">
    <w:abstractNumId w:val="9"/>
  </w:num>
  <w:num w:numId="85" w16cid:durableId="1451127402">
    <w:abstractNumId w:val="9"/>
  </w:num>
  <w:num w:numId="86" w16cid:durableId="1183325959">
    <w:abstractNumId w:val="9"/>
  </w:num>
  <w:num w:numId="87" w16cid:durableId="2102868145">
    <w:abstractNumId w:val="9"/>
  </w:num>
  <w:num w:numId="88" w16cid:durableId="328412138">
    <w:abstractNumId w:val="9"/>
  </w:num>
  <w:num w:numId="89" w16cid:durableId="2128311934">
    <w:abstractNumId w:val="9"/>
  </w:num>
  <w:num w:numId="90" w16cid:durableId="467818144">
    <w:abstractNumId w:val="9"/>
  </w:num>
  <w:num w:numId="91" w16cid:durableId="589244262">
    <w:abstractNumId w:val="9"/>
  </w:num>
  <w:num w:numId="92" w16cid:durableId="796140422">
    <w:abstractNumId w:val="9"/>
  </w:num>
  <w:num w:numId="93" w16cid:durableId="704645536">
    <w:abstractNumId w:val="9"/>
  </w:num>
  <w:num w:numId="94" w16cid:durableId="214894934">
    <w:abstractNumId w:val="9"/>
  </w:num>
  <w:num w:numId="95" w16cid:durableId="2045013928">
    <w:abstractNumId w:val="9"/>
  </w:num>
  <w:num w:numId="96" w16cid:durableId="1913346925">
    <w:abstractNumId w:val="9"/>
  </w:num>
  <w:num w:numId="97" w16cid:durableId="571892156">
    <w:abstractNumId w:val="9"/>
  </w:num>
  <w:num w:numId="98" w16cid:durableId="2011826965">
    <w:abstractNumId w:val="9"/>
  </w:num>
  <w:num w:numId="99" w16cid:durableId="1035882811">
    <w:abstractNumId w:val="9"/>
  </w:num>
  <w:num w:numId="100" w16cid:durableId="1970627299">
    <w:abstractNumId w:val="9"/>
  </w:num>
  <w:num w:numId="101" w16cid:durableId="1094746060">
    <w:abstractNumId w:val="9"/>
  </w:num>
  <w:num w:numId="102" w16cid:durableId="57091103">
    <w:abstractNumId w:val="9"/>
  </w:num>
  <w:num w:numId="103" w16cid:durableId="1674450248">
    <w:abstractNumId w:val="9"/>
  </w:num>
  <w:num w:numId="104" w16cid:durableId="906189467">
    <w:abstractNumId w:val="9"/>
  </w:num>
  <w:num w:numId="105" w16cid:durableId="1501506320">
    <w:abstractNumId w:val="9"/>
  </w:num>
  <w:num w:numId="106" w16cid:durableId="855074672">
    <w:abstractNumId w:val="9"/>
  </w:num>
  <w:num w:numId="107" w16cid:durableId="54738330">
    <w:abstractNumId w:val="9"/>
  </w:num>
  <w:num w:numId="108" w16cid:durableId="1870337484">
    <w:abstractNumId w:val="9"/>
  </w:num>
  <w:num w:numId="109" w16cid:durableId="397829661">
    <w:abstractNumId w:val="9"/>
  </w:num>
  <w:num w:numId="110" w16cid:durableId="1791195668">
    <w:abstractNumId w:val="9"/>
  </w:num>
  <w:num w:numId="111" w16cid:durableId="2067491026">
    <w:abstractNumId w:val="9"/>
  </w:num>
  <w:num w:numId="112" w16cid:durableId="1303340696">
    <w:abstractNumId w:val="9"/>
  </w:num>
  <w:num w:numId="113" w16cid:durableId="559944474">
    <w:abstractNumId w:val="9"/>
  </w:num>
  <w:num w:numId="114" w16cid:durableId="2119908033">
    <w:abstractNumId w:val="9"/>
  </w:num>
  <w:num w:numId="115" w16cid:durableId="601571589">
    <w:abstractNumId w:val="9"/>
  </w:num>
  <w:num w:numId="116" w16cid:durableId="222907069">
    <w:abstractNumId w:val="9"/>
  </w:num>
  <w:num w:numId="117" w16cid:durableId="1280844611">
    <w:abstractNumId w:val="9"/>
  </w:num>
  <w:num w:numId="118" w16cid:durableId="1592078111">
    <w:abstractNumId w:val="9"/>
  </w:num>
  <w:num w:numId="119" w16cid:durableId="1583565633">
    <w:abstractNumId w:val="9"/>
  </w:num>
  <w:num w:numId="120" w16cid:durableId="662009050">
    <w:abstractNumId w:val="9"/>
  </w:num>
  <w:num w:numId="121" w16cid:durableId="1143043906">
    <w:abstractNumId w:val="9"/>
  </w:num>
  <w:num w:numId="122" w16cid:durableId="1061517007">
    <w:abstractNumId w:val="9"/>
  </w:num>
  <w:num w:numId="123" w16cid:durableId="1481186965">
    <w:abstractNumId w:val="9"/>
  </w:num>
  <w:num w:numId="124" w16cid:durableId="1114322276">
    <w:abstractNumId w:val="9"/>
  </w:num>
  <w:num w:numId="125" w16cid:durableId="1888755883">
    <w:abstractNumId w:val="9"/>
  </w:num>
  <w:num w:numId="126" w16cid:durableId="1887837510">
    <w:abstractNumId w:val="9"/>
  </w:num>
  <w:num w:numId="127" w16cid:durableId="705985228">
    <w:abstractNumId w:val="6"/>
  </w:num>
  <w:num w:numId="128" w16cid:durableId="700515404">
    <w:abstractNumId w:val="16"/>
  </w:num>
  <w:num w:numId="129" w16cid:durableId="643462906">
    <w:abstractNumId w:val="10"/>
  </w:num>
  <w:num w:numId="130" w16cid:durableId="1116018546">
    <w:abstractNumId w:val="25"/>
  </w:num>
  <w:num w:numId="131" w16cid:durableId="795872775">
    <w:abstractNumId w:val="12"/>
  </w:num>
  <w:num w:numId="132" w16cid:durableId="439923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994533093">
    <w:abstractNumId w:val="9"/>
  </w:num>
  <w:num w:numId="134" w16cid:durableId="307823439">
    <w:abstractNumId w:val="9"/>
  </w:num>
  <w:num w:numId="135" w16cid:durableId="565578970">
    <w:abstractNumId w:val="9"/>
  </w:num>
  <w:num w:numId="136" w16cid:durableId="771827598">
    <w:abstractNumId w:val="9"/>
  </w:num>
  <w:num w:numId="137" w16cid:durableId="437872907">
    <w:abstractNumId w:val="9"/>
  </w:num>
  <w:num w:numId="138" w16cid:durableId="1302810683">
    <w:abstractNumId w:val="9"/>
  </w:num>
  <w:num w:numId="139" w16cid:durableId="326713132">
    <w:abstractNumId w:val="9"/>
  </w:num>
  <w:num w:numId="140" w16cid:durableId="260452494">
    <w:abstractNumId w:val="9"/>
  </w:num>
  <w:num w:numId="141" w16cid:durableId="1354847079">
    <w:abstractNumId w:val="9"/>
  </w:num>
  <w:num w:numId="142" w16cid:durableId="936788061">
    <w:abstractNumId w:val="9"/>
  </w:num>
  <w:num w:numId="143" w16cid:durableId="1449276308">
    <w:abstractNumId w:val="9"/>
  </w:num>
  <w:num w:numId="144" w16cid:durableId="1246718948">
    <w:abstractNumId w:val="9"/>
  </w:num>
  <w:num w:numId="145" w16cid:durableId="502471730">
    <w:abstractNumId w:val="9"/>
  </w:num>
  <w:num w:numId="146" w16cid:durableId="2003579522">
    <w:abstractNumId w:val="9"/>
  </w:num>
  <w:num w:numId="147" w16cid:durableId="1799488968">
    <w:abstractNumId w:val="9"/>
  </w:num>
  <w:num w:numId="148" w16cid:durableId="1989362557">
    <w:abstractNumId w:val="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1">
      <o:colormru v:ext="edit" colors="#00597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189143"/>
    <w:docVar w:name="CLIENTID" w:val="240793"/>
    <w:docVar w:name="COMPANYID" w:val="2122615664"/>
    <w:docVar w:name="DOCID" w:val=" "/>
    <w:docVar w:name="EDITION" w:val="FM"/>
    <w:docVar w:name="FILEID" w:val="3727240"/>
    <w:docVar w:name="SERIALNO" w:val="11502"/>
  </w:docVars>
  <w:rsids>
    <w:rsidRoot w:val="00EE56A7"/>
    <w:rsid w:val="00000499"/>
    <w:rsid w:val="00004878"/>
    <w:rsid w:val="00007033"/>
    <w:rsid w:val="00007EDA"/>
    <w:rsid w:val="00011597"/>
    <w:rsid w:val="000125C8"/>
    <w:rsid w:val="00014B03"/>
    <w:rsid w:val="00015D30"/>
    <w:rsid w:val="00016610"/>
    <w:rsid w:val="00016BAF"/>
    <w:rsid w:val="00020D5D"/>
    <w:rsid w:val="00024001"/>
    <w:rsid w:val="000273E8"/>
    <w:rsid w:val="00032E93"/>
    <w:rsid w:val="00033EFA"/>
    <w:rsid w:val="00040AFD"/>
    <w:rsid w:val="00044E5C"/>
    <w:rsid w:val="00045443"/>
    <w:rsid w:val="00046B04"/>
    <w:rsid w:val="00046EF4"/>
    <w:rsid w:val="0004D9EE"/>
    <w:rsid w:val="00051295"/>
    <w:rsid w:val="00051C73"/>
    <w:rsid w:val="00053C9D"/>
    <w:rsid w:val="000540E4"/>
    <w:rsid w:val="00055F73"/>
    <w:rsid w:val="0006321A"/>
    <w:rsid w:val="00064C0A"/>
    <w:rsid w:val="000650E7"/>
    <w:rsid w:val="0006739F"/>
    <w:rsid w:val="000713FE"/>
    <w:rsid w:val="0007154F"/>
    <w:rsid w:val="000724E6"/>
    <w:rsid w:val="000738FF"/>
    <w:rsid w:val="00073E63"/>
    <w:rsid w:val="0007624D"/>
    <w:rsid w:val="000767D3"/>
    <w:rsid w:val="000769C3"/>
    <w:rsid w:val="000771B9"/>
    <w:rsid w:val="00082A6E"/>
    <w:rsid w:val="000833AC"/>
    <w:rsid w:val="00084F16"/>
    <w:rsid w:val="00085CAE"/>
    <w:rsid w:val="00087C87"/>
    <w:rsid w:val="00095645"/>
    <w:rsid w:val="000974D5"/>
    <w:rsid w:val="00097C52"/>
    <w:rsid w:val="000A1425"/>
    <w:rsid w:val="000A16B1"/>
    <w:rsid w:val="000A422C"/>
    <w:rsid w:val="000A4997"/>
    <w:rsid w:val="000A5E6C"/>
    <w:rsid w:val="000A6F2C"/>
    <w:rsid w:val="000A7607"/>
    <w:rsid w:val="000A7CEE"/>
    <w:rsid w:val="000B00EC"/>
    <w:rsid w:val="000B6733"/>
    <w:rsid w:val="000C0613"/>
    <w:rsid w:val="000C1CF7"/>
    <w:rsid w:val="000C24A4"/>
    <w:rsid w:val="000C3109"/>
    <w:rsid w:val="000C4A50"/>
    <w:rsid w:val="000C5301"/>
    <w:rsid w:val="000D00B0"/>
    <w:rsid w:val="000D2692"/>
    <w:rsid w:val="000D4090"/>
    <w:rsid w:val="000D42E7"/>
    <w:rsid w:val="000D49EF"/>
    <w:rsid w:val="000D531A"/>
    <w:rsid w:val="000E0CD9"/>
    <w:rsid w:val="000E33CD"/>
    <w:rsid w:val="000E3683"/>
    <w:rsid w:val="000E3FB9"/>
    <w:rsid w:val="000E7E38"/>
    <w:rsid w:val="000F0203"/>
    <w:rsid w:val="000F2AC8"/>
    <w:rsid w:val="000F400A"/>
    <w:rsid w:val="000F4B4A"/>
    <w:rsid w:val="000F6E52"/>
    <w:rsid w:val="000F7036"/>
    <w:rsid w:val="000F7651"/>
    <w:rsid w:val="000F7C11"/>
    <w:rsid w:val="001013A4"/>
    <w:rsid w:val="0010176E"/>
    <w:rsid w:val="00102C79"/>
    <w:rsid w:val="001045A5"/>
    <w:rsid w:val="001059F4"/>
    <w:rsid w:val="00105B57"/>
    <w:rsid w:val="00106C0C"/>
    <w:rsid w:val="001128CD"/>
    <w:rsid w:val="00112CF6"/>
    <w:rsid w:val="0011323E"/>
    <w:rsid w:val="00115598"/>
    <w:rsid w:val="00121208"/>
    <w:rsid w:val="001220A3"/>
    <w:rsid w:val="001254F2"/>
    <w:rsid w:val="00125D90"/>
    <w:rsid w:val="0012783D"/>
    <w:rsid w:val="001332B2"/>
    <w:rsid w:val="00136EB3"/>
    <w:rsid w:val="001375DE"/>
    <w:rsid w:val="00141CA3"/>
    <w:rsid w:val="00143794"/>
    <w:rsid w:val="001438FB"/>
    <w:rsid w:val="00145931"/>
    <w:rsid w:val="00145BAC"/>
    <w:rsid w:val="00147B48"/>
    <w:rsid w:val="00147EAB"/>
    <w:rsid w:val="001510F3"/>
    <w:rsid w:val="00152247"/>
    <w:rsid w:val="001528E3"/>
    <w:rsid w:val="00154487"/>
    <w:rsid w:val="00154C0D"/>
    <w:rsid w:val="00156D8F"/>
    <w:rsid w:val="0016053A"/>
    <w:rsid w:val="00161152"/>
    <w:rsid w:val="00161774"/>
    <w:rsid w:val="001619CC"/>
    <w:rsid w:val="00162D02"/>
    <w:rsid w:val="0016428C"/>
    <w:rsid w:val="00164885"/>
    <w:rsid w:val="00165A51"/>
    <w:rsid w:val="00166F97"/>
    <w:rsid w:val="00170BBC"/>
    <w:rsid w:val="00170E24"/>
    <w:rsid w:val="00175BA8"/>
    <w:rsid w:val="00176800"/>
    <w:rsid w:val="00181348"/>
    <w:rsid w:val="0018322F"/>
    <w:rsid w:val="00183A0B"/>
    <w:rsid w:val="0018628D"/>
    <w:rsid w:val="00187AF4"/>
    <w:rsid w:val="00190624"/>
    <w:rsid w:val="00190B29"/>
    <w:rsid w:val="00192027"/>
    <w:rsid w:val="00192F6B"/>
    <w:rsid w:val="001951A3"/>
    <w:rsid w:val="00195273"/>
    <w:rsid w:val="00195F6F"/>
    <w:rsid w:val="00196923"/>
    <w:rsid w:val="001969E7"/>
    <w:rsid w:val="00197500"/>
    <w:rsid w:val="001A075D"/>
    <w:rsid w:val="001A1447"/>
    <w:rsid w:val="001A2A2D"/>
    <w:rsid w:val="001A3ED3"/>
    <w:rsid w:val="001A4B20"/>
    <w:rsid w:val="001A5F41"/>
    <w:rsid w:val="001B5042"/>
    <w:rsid w:val="001B5636"/>
    <w:rsid w:val="001B6338"/>
    <w:rsid w:val="001B6827"/>
    <w:rsid w:val="001B7164"/>
    <w:rsid w:val="001B76DB"/>
    <w:rsid w:val="001B7757"/>
    <w:rsid w:val="001B7967"/>
    <w:rsid w:val="001C1D17"/>
    <w:rsid w:val="001C2060"/>
    <w:rsid w:val="001C2BE1"/>
    <w:rsid w:val="001C40CC"/>
    <w:rsid w:val="001C40FF"/>
    <w:rsid w:val="001C4892"/>
    <w:rsid w:val="001C52D0"/>
    <w:rsid w:val="001C54F0"/>
    <w:rsid w:val="001D1C47"/>
    <w:rsid w:val="001D2A04"/>
    <w:rsid w:val="001D2D3A"/>
    <w:rsid w:val="001D30BD"/>
    <w:rsid w:val="001D3C7E"/>
    <w:rsid w:val="001D400F"/>
    <w:rsid w:val="001D51B3"/>
    <w:rsid w:val="001E21D0"/>
    <w:rsid w:val="001E2891"/>
    <w:rsid w:val="001E3B6C"/>
    <w:rsid w:val="001E644A"/>
    <w:rsid w:val="001E76C5"/>
    <w:rsid w:val="001F2268"/>
    <w:rsid w:val="001F2B1F"/>
    <w:rsid w:val="001F312C"/>
    <w:rsid w:val="001F41A4"/>
    <w:rsid w:val="001F5FD2"/>
    <w:rsid w:val="00202EC0"/>
    <w:rsid w:val="00203614"/>
    <w:rsid w:val="0020540F"/>
    <w:rsid w:val="00211551"/>
    <w:rsid w:val="002126BE"/>
    <w:rsid w:val="0021748A"/>
    <w:rsid w:val="00220D34"/>
    <w:rsid w:val="0022320D"/>
    <w:rsid w:val="00226636"/>
    <w:rsid w:val="002303D0"/>
    <w:rsid w:val="0023136C"/>
    <w:rsid w:val="002330A9"/>
    <w:rsid w:val="00233B52"/>
    <w:rsid w:val="002365C6"/>
    <w:rsid w:val="00236B8C"/>
    <w:rsid w:val="002434EA"/>
    <w:rsid w:val="00245E7D"/>
    <w:rsid w:val="00247358"/>
    <w:rsid w:val="00250CF6"/>
    <w:rsid w:val="00253467"/>
    <w:rsid w:val="00254399"/>
    <w:rsid w:val="00254BBD"/>
    <w:rsid w:val="002561DA"/>
    <w:rsid w:val="0026658E"/>
    <w:rsid w:val="00266D11"/>
    <w:rsid w:val="00270176"/>
    <w:rsid w:val="00270EFD"/>
    <w:rsid w:val="00273B73"/>
    <w:rsid w:val="002748DC"/>
    <w:rsid w:val="00280641"/>
    <w:rsid w:val="00280A62"/>
    <w:rsid w:val="002846DE"/>
    <w:rsid w:val="00285484"/>
    <w:rsid w:val="002865E7"/>
    <w:rsid w:val="00286611"/>
    <w:rsid w:val="00286DBE"/>
    <w:rsid w:val="00293A67"/>
    <w:rsid w:val="0029416F"/>
    <w:rsid w:val="0029431A"/>
    <w:rsid w:val="00295624"/>
    <w:rsid w:val="00295791"/>
    <w:rsid w:val="002A0ABF"/>
    <w:rsid w:val="002A1B16"/>
    <w:rsid w:val="002A396B"/>
    <w:rsid w:val="002A3BA5"/>
    <w:rsid w:val="002A63BE"/>
    <w:rsid w:val="002A68BF"/>
    <w:rsid w:val="002B059E"/>
    <w:rsid w:val="002B137F"/>
    <w:rsid w:val="002B2CE0"/>
    <w:rsid w:val="002B5F60"/>
    <w:rsid w:val="002B69F7"/>
    <w:rsid w:val="002B76D4"/>
    <w:rsid w:val="002C30FC"/>
    <w:rsid w:val="002C35EE"/>
    <w:rsid w:val="002C579A"/>
    <w:rsid w:val="002C7F8B"/>
    <w:rsid w:val="002D1773"/>
    <w:rsid w:val="002D2BA4"/>
    <w:rsid w:val="002D31C6"/>
    <w:rsid w:val="002D55B2"/>
    <w:rsid w:val="002D56EE"/>
    <w:rsid w:val="002D5FC9"/>
    <w:rsid w:val="002D6420"/>
    <w:rsid w:val="002D7FB4"/>
    <w:rsid w:val="002E10BC"/>
    <w:rsid w:val="002E437C"/>
    <w:rsid w:val="002E4CD5"/>
    <w:rsid w:val="002F09C1"/>
    <w:rsid w:val="002F2A86"/>
    <w:rsid w:val="002F37BE"/>
    <w:rsid w:val="002F57C0"/>
    <w:rsid w:val="002F59F9"/>
    <w:rsid w:val="002F6F1D"/>
    <w:rsid w:val="00300967"/>
    <w:rsid w:val="00304A04"/>
    <w:rsid w:val="0030526C"/>
    <w:rsid w:val="003061E3"/>
    <w:rsid w:val="0030660C"/>
    <w:rsid w:val="00310515"/>
    <w:rsid w:val="00310CCA"/>
    <w:rsid w:val="00313D13"/>
    <w:rsid w:val="00314329"/>
    <w:rsid w:val="00314603"/>
    <w:rsid w:val="003170D7"/>
    <w:rsid w:val="00317C74"/>
    <w:rsid w:val="003227A9"/>
    <w:rsid w:val="003228F1"/>
    <w:rsid w:val="00324F11"/>
    <w:rsid w:val="0033069E"/>
    <w:rsid w:val="00330B85"/>
    <w:rsid w:val="00330DD6"/>
    <w:rsid w:val="003317B3"/>
    <w:rsid w:val="00332FDC"/>
    <w:rsid w:val="00335884"/>
    <w:rsid w:val="00336157"/>
    <w:rsid w:val="00336DC9"/>
    <w:rsid w:val="003412DD"/>
    <w:rsid w:val="003421B2"/>
    <w:rsid w:val="00342B73"/>
    <w:rsid w:val="00344BC1"/>
    <w:rsid w:val="003462DC"/>
    <w:rsid w:val="0035060F"/>
    <w:rsid w:val="003513C5"/>
    <w:rsid w:val="00353B25"/>
    <w:rsid w:val="003546F5"/>
    <w:rsid w:val="00355805"/>
    <w:rsid w:val="0035595E"/>
    <w:rsid w:val="00356D3D"/>
    <w:rsid w:val="0035775F"/>
    <w:rsid w:val="00360C6B"/>
    <w:rsid w:val="00361824"/>
    <w:rsid w:val="00361D3A"/>
    <w:rsid w:val="0036333F"/>
    <w:rsid w:val="00363DFC"/>
    <w:rsid w:val="00365EA0"/>
    <w:rsid w:val="00366529"/>
    <w:rsid w:val="003673CA"/>
    <w:rsid w:val="003748F2"/>
    <w:rsid w:val="003749B1"/>
    <w:rsid w:val="00375645"/>
    <w:rsid w:val="00376F50"/>
    <w:rsid w:val="00380E29"/>
    <w:rsid w:val="00382B7E"/>
    <w:rsid w:val="00384CDC"/>
    <w:rsid w:val="00384DBD"/>
    <w:rsid w:val="003874A5"/>
    <w:rsid w:val="003905B6"/>
    <w:rsid w:val="00390FF2"/>
    <w:rsid w:val="00394454"/>
    <w:rsid w:val="00397BE1"/>
    <w:rsid w:val="003A015C"/>
    <w:rsid w:val="003A34DD"/>
    <w:rsid w:val="003A6422"/>
    <w:rsid w:val="003A6C4F"/>
    <w:rsid w:val="003A7298"/>
    <w:rsid w:val="003B13B7"/>
    <w:rsid w:val="003B28F4"/>
    <w:rsid w:val="003B4C83"/>
    <w:rsid w:val="003B595D"/>
    <w:rsid w:val="003C0058"/>
    <w:rsid w:val="003C00A7"/>
    <w:rsid w:val="003C1D7F"/>
    <w:rsid w:val="003C2424"/>
    <w:rsid w:val="003C4207"/>
    <w:rsid w:val="003C5F42"/>
    <w:rsid w:val="003C663D"/>
    <w:rsid w:val="003C743F"/>
    <w:rsid w:val="003D006D"/>
    <w:rsid w:val="003D54C6"/>
    <w:rsid w:val="003D57D1"/>
    <w:rsid w:val="003D7505"/>
    <w:rsid w:val="003D76EC"/>
    <w:rsid w:val="003E08FB"/>
    <w:rsid w:val="003E1F75"/>
    <w:rsid w:val="003E4833"/>
    <w:rsid w:val="003F0478"/>
    <w:rsid w:val="003F04CA"/>
    <w:rsid w:val="003F11AF"/>
    <w:rsid w:val="003F29F3"/>
    <w:rsid w:val="003F2BD9"/>
    <w:rsid w:val="003F5E65"/>
    <w:rsid w:val="003F6720"/>
    <w:rsid w:val="003F73FF"/>
    <w:rsid w:val="0040137E"/>
    <w:rsid w:val="00401699"/>
    <w:rsid w:val="00405844"/>
    <w:rsid w:val="004129D4"/>
    <w:rsid w:val="00412CC8"/>
    <w:rsid w:val="00413CE3"/>
    <w:rsid w:val="004143CE"/>
    <w:rsid w:val="0042090A"/>
    <w:rsid w:val="00420C2C"/>
    <w:rsid w:val="00424BFC"/>
    <w:rsid w:val="00425DF4"/>
    <w:rsid w:val="004261AF"/>
    <w:rsid w:val="00427326"/>
    <w:rsid w:val="00427E8A"/>
    <w:rsid w:val="004302F5"/>
    <w:rsid w:val="00431CA5"/>
    <w:rsid w:val="00433592"/>
    <w:rsid w:val="00434BF0"/>
    <w:rsid w:val="004356B0"/>
    <w:rsid w:val="00436741"/>
    <w:rsid w:val="00444D57"/>
    <w:rsid w:val="00447D41"/>
    <w:rsid w:val="00450C8F"/>
    <w:rsid w:val="004515D6"/>
    <w:rsid w:val="004522E7"/>
    <w:rsid w:val="004566F6"/>
    <w:rsid w:val="0046131C"/>
    <w:rsid w:val="004652A7"/>
    <w:rsid w:val="00465851"/>
    <w:rsid w:val="00466F62"/>
    <w:rsid w:val="00467726"/>
    <w:rsid w:val="00467ABF"/>
    <w:rsid w:val="00471CBB"/>
    <w:rsid w:val="00472AE8"/>
    <w:rsid w:val="00472FBE"/>
    <w:rsid w:val="00474CD0"/>
    <w:rsid w:val="0047525F"/>
    <w:rsid w:val="00481AEB"/>
    <w:rsid w:val="004828AA"/>
    <w:rsid w:val="00482F88"/>
    <w:rsid w:val="00484235"/>
    <w:rsid w:val="00484583"/>
    <w:rsid w:val="00487961"/>
    <w:rsid w:val="00487B5D"/>
    <w:rsid w:val="004905D9"/>
    <w:rsid w:val="004917DA"/>
    <w:rsid w:val="004935BE"/>
    <w:rsid w:val="00493804"/>
    <w:rsid w:val="0049426B"/>
    <w:rsid w:val="004A1503"/>
    <w:rsid w:val="004A1DCF"/>
    <w:rsid w:val="004A2353"/>
    <w:rsid w:val="004A5820"/>
    <w:rsid w:val="004A753F"/>
    <w:rsid w:val="004A7A13"/>
    <w:rsid w:val="004B15C1"/>
    <w:rsid w:val="004B254F"/>
    <w:rsid w:val="004B6789"/>
    <w:rsid w:val="004B79FC"/>
    <w:rsid w:val="004C0C0C"/>
    <w:rsid w:val="004C10D2"/>
    <w:rsid w:val="004C2766"/>
    <w:rsid w:val="004C28F0"/>
    <w:rsid w:val="004C3ECE"/>
    <w:rsid w:val="004C45E8"/>
    <w:rsid w:val="004C4946"/>
    <w:rsid w:val="004C64BD"/>
    <w:rsid w:val="004C6F1B"/>
    <w:rsid w:val="004D0325"/>
    <w:rsid w:val="004D2628"/>
    <w:rsid w:val="004D2AA9"/>
    <w:rsid w:val="004D4AFD"/>
    <w:rsid w:val="004D5D63"/>
    <w:rsid w:val="004D6B98"/>
    <w:rsid w:val="004D70A4"/>
    <w:rsid w:val="004D7B99"/>
    <w:rsid w:val="004E41E1"/>
    <w:rsid w:val="004E4534"/>
    <w:rsid w:val="004E4FAF"/>
    <w:rsid w:val="004E51CC"/>
    <w:rsid w:val="004E572A"/>
    <w:rsid w:val="004E5DE2"/>
    <w:rsid w:val="004E7045"/>
    <w:rsid w:val="004E7073"/>
    <w:rsid w:val="004F0FE8"/>
    <w:rsid w:val="004F1C8D"/>
    <w:rsid w:val="004F2E31"/>
    <w:rsid w:val="004F4212"/>
    <w:rsid w:val="004F5BFA"/>
    <w:rsid w:val="004F74C0"/>
    <w:rsid w:val="00500E8C"/>
    <w:rsid w:val="005015FE"/>
    <w:rsid w:val="00501D8F"/>
    <w:rsid w:val="0050277D"/>
    <w:rsid w:val="005027F8"/>
    <w:rsid w:val="00502A05"/>
    <w:rsid w:val="00503F46"/>
    <w:rsid w:val="00504C8C"/>
    <w:rsid w:val="00505C60"/>
    <w:rsid w:val="00507FB2"/>
    <w:rsid w:val="00510F68"/>
    <w:rsid w:val="005120EC"/>
    <w:rsid w:val="00513249"/>
    <w:rsid w:val="005152A5"/>
    <w:rsid w:val="00516DB7"/>
    <w:rsid w:val="00523678"/>
    <w:rsid w:val="00525BA5"/>
    <w:rsid w:val="00527ED3"/>
    <w:rsid w:val="0053439F"/>
    <w:rsid w:val="0054075B"/>
    <w:rsid w:val="00541834"/>
    <w:rsid w:val="005426C9"/>
    <w:rsid w:val="005437EF"/>
    <w:rsid w:val="00550A02"/>
    <w:rsid w:val="00550C7A"/>
    <w:rsid w:val="005542B4"/>
    <w:rsid w:val="005552A4"/>
    <w:rsid w:val="0056024A"/>
    <w:rsid w:val="00560DD3"/>
    <w:rsid w:val="00561580"/>
    <w:rsid w:val="00564202"/>
    <w:rsid w:val="0056461A"/>
    <w:rsid w:val="00565647"/>
    <w:rsid w:val="00570FE2"/>
    <w:rsid w:val="00573F1F"/>
    <w:rsid w:val="00574404"/>
    <w:rsid w:val="005754C8"/>
    <w:rsid w:val="0057618C"/>
    <w:rsid w:val="00576EAB"/>
    <w:rsid w:val="005777B4"/>
    <w:rsid w:val="00581256"/>
    <w:rsid w:val="005877C6"/>
    <w:rsid w:val="005903B1"/>
    <w:rsid w:val="005918D8"/>
    <w:rsid w:val="00591908"/>
    <w:rsid w:val="00591FC3"/>
    <w:rsid w:val="0059382E"/>
    <w:rsid w:val="005941D3"/>
    <w:rsid w:val="00595033"/>
    <w:rsid w:val="00595894"/>
    <w:rsid w:val="005958CF"/>
    <w:rsid w:val="00597783"/>
    <w:rsid w:val="005A015E"/>
    <w:rsid w:val="005A0547"/>
    <w:rsid w:val="005A25BD"/>
    <w:rsid w:val="005A2FA7"/>
    <w:rsid w:val="005A5447"/>
    <w:rsid w:val="005A5E1D"/>
    <w:rsid w:val="005A633D"/>
    <w:rsid w:val="005A6AEB"/>
    <w:rsid w:val="005A709B"/>
    <w:rsid w:val="005A7D37"/>
    <w:rsid w:val="005B0088"/>
    <w:rsid w:val="005B1764"/>
    <w:rsid w:val="005B5309"/>
    <w:rsid w:val="005B748C"/>
    <w:rsid w:val="005B7D5D"/>
    <w:rsid w:val="005C0CEF"/>
    <w:rsid w:val="005C0E9D"/>
    <w:rsid w:val="005C4569"/>
    <w:rsid w:val="005C6765"/>
    <w:rsid w:val="005C681C"/>
    <w:rsid w:val="005C736C"/>
    <w:rsid w:val="005D050C"/>
    <w:rsid w:val="005D0660"/>
    <w:rsid w:val="005D0715"/>
    <w:rsid w:val="005D0D0F"/>
    <w:rsid w:val="005D1489"/>
    <w:rsid w:val="005D1A9B"/>
    <w:rsid w:val="005D1DCC"/>
    <w:rsid w:val="005D31A8"/>
    <w:rsid w:val="005D5E15"/>
    <w:rsid w:val="005E28FA"/>
    <w:rsid w:val="005E545B"/>
    <w:rsid w:val="005E6E6A"/>
    <w:rsid w:val="005E7EC2"/>
    <w:rsid w:val="005F03AF"/>
    <w:rsid w:val="005F16FE"/>
    <w:rsid w:val="005F21EA"/>
    <w:rsid w:val="005F2E56"/>
    <w:rsid w:val="005F5C12"/>
    <w:rsid w:val="005F72E1"/>
    <w:rsid w:val="00601FFB"/>
    <w:rsid w:val="006055CB"/>
    <w:rsid w:val="0060649C"/>
    <w:rsid w:val="0060699D"/>
    <w:rsid w:val="006075A2"/>
    <w:rsid w:val="0061009A"/>
    <w:rsid w:val="00610E74"/>
    <w:rsid w:val="006142EF"/>
    <w:rsid w:val="00614E34"/>
    <w:rsid w:val="00620B5C"/>
    <w:rsid w:val="0062207C"/>
    <w:rsid w:val="00625ACB"/>
    <w:rsid w:val="006271CA"/>
    <w:rsid w:val="00627481"/>
    <w:rsid w:val="006307AD"/>
    <w:rsid w:val="00632356"/>
    <w:rsid w:val="006333EC"/>
    <w:rsid w:val="006338CE"/>
    <w:rsid w:val="00633913"/>
    <w:rsid w:val="00636BD9"/>
    <w:rsid w:val="006401E7"/>
    <w:rsid w:val="006437D3"/>
    <w:rsid w:val="00645381"/>
    <w:rsid w:val="00646E99"/>
    <w:rsid w:val="00647CF1"/>
    <w:rsid w:val="006534AE"/>
    <w:rsid w:val="00653A98"/>
    <w:rsid w:val="00654994"/>
    <w:rsid w:val="00654FCE"/>
    <w:rsid w:val="006554C2"/>
    <w:rsid w:val="006572EC"/>
    <w:rsid w:val="00663496"/>
    <w:rsid w:val="00666207"/>
    <w:rsid w:val="006704B5"/>
    <w:rsid w:val="00672246"/>
    <w:rsid w:val="006745D0"/>
    <w:rsid w:val="00675BBA"/>
    <w:rsid w:val="0067602C"/>
    <w:rsid w:val="00677C70"/>
    <w:rsid w:val="006807FE"/>
    <w:rsid w:val="00681E40"/>
    <w:rsid w:val="00682381"/>
    <w:rsid w:val="00685B76"/>
    <w:rsid w:val="00685D4E"/>
    <w:rsid w:val="006869E9"/>
    <w:rsid w:val="00690FE3"/>
    <w:rsid w:val="0069441E"/>
    <w:rsid w:val="00694698"/>
    <w:rsid w:val="00697822"/>
    <w:rsid w:val="006A1E81"/>
    <w:rsid w:val="006A1ED9"/>
    <w:rsid w:val="006A214D"/>
    <w:rsid w:val="006A4C40"/>
    <w:rsid w:val="006B0007"/>
    <w:rsid w:val="006B2C50"/>
    <w:rsid w:val="006B30FB"/>
    <w:rsid w:val="006B3B62"/>
    <w:rsid w:val="006B5F2E"/>
    <w:rsid w:val="006B6CA2"/>
    <w:rsid w:val="006C2727"/>
    <w:rsid w:val="006C272B"/>
    <w:rsid w:val="006C3319"/>
    <w:rsid w:val="006C3DF2"/>
    <w:rsid w:val="006C790A"/>
    <w:rsid w:val="006D0523"/>
    <w:rsid w:val="006D076A"/>
    <w:rsid w:val="006D11A2"/>
    <w:rsid w:val="006D2B38"/>
    <w:rsid w:val="006D4260"/>
    <w:rsid w:val="006D42A7"/>
    <w:rsid w:val="006D438E"/>
    <w:rsid w:val="006D472A"/>
    <w:rsid w:val="006D569D"/>
    <w:rsid w:val="006E0817"/>
    <w:rsid w:val="006E172B"/>
    <w:rsid w:val="006E3CFC"/>
    <w:rsid w:val="006E615C"/>
    <w:rsid w:val="006E6960"/>
    <w:rsid w:val="006E6E6C"/>
    <w:rsid w:val="006F2185"/>
    <w:rsid w:val="006F3836"/>
    <w:rsid w:val="006F4414"/>
    <w:rsid w:val="006F501C"/>
    <w:rsid w:val="006F52F4"/>
    <w:rsid w:val="006F541C"/>
    <w:rsid w:val="00700A3E"/>
    <w:rsid w:val="00703E6B"/>
    <w:rsid w:val="00704263"/>
    <w:rsid w:val="00704A98"/>
    <w:rsid w:val="00705449"/>
    <w:rsid w:val="007065C2"/>
    <w:rsid w:val="00706DF5"/>
    <w:rsid w:val="00707618"/>
    <w:rsid w:val="00713D71"/>
    <w:rsid w:val="0072006E"/>
    <w:rsid w:val="007203EC"/>
    <w:rsid w:val="0072254B"/>
    <w:rsid w:val="00730970"/>
    <w:rsid w:val="00730E8E"/>
    <w:rsid w:val="00731609"/>
    <w:rsid w:val="0073252B"/>
    <w:rsid w:val="007329C8"/>
    <w:rsid w:val="00732F2C"/>
    <w:rsid w:val="007359C8"/>
    <w:rsid w:val="00735ECE"/>
    <w:rsid w:val="00743FED"/>
    <w:rsid w:val="007447D9"/>
    <w:rsid w:val="00744FCA"/>
    <w:rsid w:val="007453F3"/>
    <w:rsid w:val="007503F7"/>
    <w:rsid w:val="007504D6"/>
    <w:rsid w:val="00753EE5"/>
    <w:rsid w:val="007558FB"/>
    <w:rsid w:val="0075696F"/>
    <w:rsid w:val="007574EA"/>
    <w:rsid w:val="00760A6B"/>
    <w:rsid w:val="00762F0D"/>
    <w:rsid w:val="00764877"/>
    <w:rsid w:val="00766F87"/>
    <w:rsid w:val="007700F3"/>
    <w:rsid w:val="0077398F"/>
    <w:rsid w:val="007750CB"/>
    <w:rsid w:val="007752EF"/>
    <w:rsid w:val="00775FA1"/>
    <w:rsid w:val="00776A86"/>
    <w:rsid w:val="00776C11"/>
    <w:rsid w:val="007777AA"/>
    <w:rsid w:val="00782781"/>
    <w:rsid w:val="00783DB7"/>
    <w:rsid w:val="007840B5"/>
    <w:rsid w:val="00785AE5"/>
    <w:rsid w:val="0078768B"/>
    <w:rsid w:val="00795217"/>
    <w:rsid w:val="0079781C"/>
    <w:rsid w:val="007A02A0"/>
    <w:rsid w:val="007A128E"/>
    <w:rsid w:val="007A1C8C"/>
    <w:rsid w:val="007A2261"/>
    <w:rsid w:val="007A3178"/>
    <w:rsid w:val="007A537E"/>
    <w:rsid w:val="007A624C"/>
    <w:rsid w:val="007B2045"/>
    <w:rsid w:val="007B667E"/>
    <w:rsid w:val="007C053F"/>
    <w:rsid w:val="007C204C"/>
    <w:rsid w:val="007C2A02"/>
    <w:rsid w:val="007C2C1B"/>
    <w:rsid w:val="007C3931"/>
    <w:rsid w:val="007C3F37"/>
    <w:rsid w:val="007C55A9"/>
    <w:rsid w:val="007C58B2"/>
    <w:rsid w:val="007C75C4"/>
    <w:rsid w:val="007C77BB"/>
    <w:rsid w:val="007D2E77"/>
    <w:rsid w:val="007D34E4"/>
    <w:rsid w:val="007D6D47"/>
    <w:rsid w:val="007E0DB5"/>
    <w:rsid w:val="007E519F"/>
    <w:rsid w:val="007E5E1E"/>
    <w:rsid w:val="007F1F04"/>
    <w:rsid w:val="00800356"/>
    <w:rsid w:val="0080223C"/>
    <w:rsid w:val="008024F1"/>
    <w:rsid w:val="00803562"/>
    <w:rsid w:val="00804233"/>
    <w:rsid w:val="008055DD"/>
    <w:rsid w:val="008075EA"/>
    <w:rsid w:val="00812E0A"/>
    <w:rsid w:val="008136F6"/>
    <w:rsid w:val="00815748"/>
    <w:rsid w:val="00815FEE"/>
    <w:rsid w:val="0081647E"/>
    <w:rsid w:val="00816A15"/>
    <w:rsid w:val="00817984"/>
    <w:rsid w:val="00822DF3"/>
    <w:rsid w:val="008237F0"/>
    <w:rsid w:val="00826F85"/>
    <w:rsid w:val="00827696"/>
    <w:rsid w:val="00832A2D"/>
    <w:rsid w:val="00832FF9"/>
    <w:rsid w:val="00833448"/>
    <w:rsid w:val="00834AF5"/>
    <w:rsid w:val="00834B2C"/>
    <w:rsid w:val="00836C2E"/>
    <w:rsid w:val="00837D87"/>
    <w:rsid w:val="008436AF"/>
    <w:rsid w:val="00844062"/>
    <w:rsid w:val="008447F5"/>
    <w:rsid w:val="00844928"/>
    <w:rsid w:val="0084560E"/>
    <w:rsid w:val="00845B75"/>
    <w:rsid w:val="0084677A"/>
    <w:rsid w:val="00847665"/>
    <w:rsid w:val="0085409A"/>
    <w:rsid w:val="00854E9F"/>
    <w:rsid w:val="00861C57"/>
    <w:rsid w:val="008666D5"/>
    <w:rsid w:val="008713B6"/>
    <w:rsid w:val="0087577F"/>
    <w:rsid w:val="00875AE5"/>
    <w:rsid w:val="00876410"/>
    <w:rsid w:val="008777E2"/>
    <w:rsid w:val="00877AE6"/>
    <w:rsid w:val="00881D3A"/>
    <w:rsid w:val="00882C7D"/>
    <w:rsid w:val="00883835"/>
    <w:rsid w:val="008866B0"/>
    <w:rsid w:val="00886F3C"/>
    <w:rsid w:val="00887E03"/>
    <w:rsid w:val="008910EE"/>
    <w:rsid w:val="00893750"/>
    <w:rsid w:val="008945A1"/>
    <w:rsid w:val="00895613"/>
    <w:rsid w:val="00897392"/>
    <w:rsid w:val="00897E6F"/>
    <w:rsid w:val="008A57F9"/>
    <w:rsid w:val="008A66F4"/>
    <w:rsid w:val="008A778D"/>
    <w:rsid w:val="008B0424"/>
    <w:rsid w:val="008B1A89"/>
    <w:rsid w:val="008B2C2A"/>
    <w:rsid w:val="008B788F"/>
    <w:rsid w:val="008C11B5"/>
    <w:rsid w:val="008C2840"/>
    <w:rsid w:val="008C3D5B"/>
    <w:rsid w:val="008C3FBA"/>
    <w:rsid w:val="008C6498"/>
    <w:rsid w:val="008D0DFD"/>
    <w:rsid w:val="008D136D"/>
    <w:rsid w:val="008D1406"/>
    <w:rsid w:val="008D1929"/>
    <w:rsid w:val="008D5D13"/>
    <w:rsid w:val="008D74B9"/>
    <w:rsid w:val="008E001D"/>
    <w:rsid w:val="008E36CC"/>
    <w:rsid w:val="008E4E19"/>
    <w:rsid w:val="008E7777"/>
    <w:rsid w:val="008E7C03"/>
    <w:rsid w:val="008F4942"/>
    <w:rsid w:val="008F53A9"/>
    <w:rsid w:val="008F578B"/>
    <w:rsid w:val="008F62F0"/>
    <w:rsid w:val="008F6BD0"/>
    <w:rsid w:val="009007A5"/>
    <w:rsid w:val="00901433"/>
    <w:rsid w:val="00901D48"/>
    <w:rsid w:val="00902E19"/>
    <w:rsid w:val="009042A3"/>
    <w:rsid w:val="0090634C"/>
    <w:rsid w:val="00906A59"/>
    <w:rsid w:val="00911CC0"/>
    <w:rsid w:val="00911DD1"/>
    <w:rsid w:val="00912371"/>
    <w:rsid w:val="00913503"/>
    <w:rsid w:val="009139DE"/>
    <w:rsid w:val="009141D3"/>
    <w:rsid w:val="0091467D"/>
    <w:rsid w:val="0091474A"/>
    <w:rsid w:val="00914C3E"/>
    <w:rsid w:val="00916945"/>
    <w:rsid w:val="009204EA"/>
    <w:rsid w:val="00920738"/>
    <w:rsid w:val="00922191"/>
    <w:rsid w:val="00922BC2"/>
    <w:rsid w:val="00923857"/>
    <w:rsid w:val="00924797"/>
    <w:rsid w:val="00924809"/>
    <w:rsid w:val="00924BA0"/>
    <w:rsid w:val="0092612B"/>
    <w:rsid w:val="00932029"/>
    <w:rsid w:val="00932E3C"/>
    <w:rsid w:val="009332A9"/>
    <w:rsid w:val="00933476"/>
    <w:rsid w:val="00933D07"/>
    <w:rsid w:val="00937070"/>
    <w:rsid w:val="0093737E"/>
    <w:rsid w:val="00943069"/>
    <w:rsid w:val="0094370C"/>
    <w:rsid w:val="009444AB"/>
    <w:rsid w:val="00944790"/>
    <w:rsid w:val="00944D6E"/>
    <w:rsid w:val="0094517C"/>
    <w:rsid w:val="00945BDE"/>
    <w:rsid w:val="0095100D"/>
    <w:rsid w:val="00955EB4"/>
    <w:rsid w:val="0095685B"/>
    <w:rsid w:val="00956AAF"/>
    <w:rsid w:val="00957BF1"/>
    <w:rsid w:val="00957F9B"/>
    <w:rsid w:val="00960D59"/>
    <w:rsid w:val="00961798"/>
    <w:rsid w:val="00961EAF"/>
    <w:rsid w:val="0096208B"/>
    <w:rsid w:val="00963067"/>
    <w:rsid w:val="00965329"/>
    <w:rsid w:val="009655EF"/>
    <w:rsid w:val="00966DC2"/>
    <w:rsid w:val="0097092A"/>
    <w:rsid w:val="009746F8"/>
    <w:rsid w:val="009804DD"/>
    <w:rsid w:val="0098070C"/>
    <w:rsid w:val="00982133"/>
    <w:rsid w:val="00985A6C"/>
    <w:rsid w:val="00985E22"/>
    <w:rsid w:val="0098686C"/>
    <w:rsid w:val="00987A1D"/>
    <w:rsid w:val="00987CB3"/>
    <w:rsid w:val="00987F26"/>
    <w:rsid w:val="0099039C"/>
    <w:rsid w:val="0099081E"/>
    <w:rsid w:val="00990B64"/>
    <w:rsid w:val="00990E13"/>
    <w:rsid w:val="00991EDE"/>
    <w:rsid w:val="00991F27"/>
    <w:rsid w:val="00992730"/>
    <w:rsid w:val="00992A6D"/>
    <w:rsid w:val="00992B32"/>
    <w:rsid w:val="00993C0F"/>
    <w:rsid w:val="00995A8D"/>
    <w:rsid w:val="00996185"/>
    <w:rsid w:val="009A0C66"/>
    <w:rsid w:val="009A1B3C"/>
    <w:rsid w:val="009A2B39"/>
    <w:rsid w:val="009A3233"/>
    <w:rsid w:val="009A3C4A"/>
    <w:rsid w:val="009A3C85"/>
    <w:rsid w:val="009A6C89"/>
    <w:rsid w:val="009A6DBC"/>
    <w:rsid w:val="009B3AE0"/>
    <w:rsid w:val="009B4131"/>
    <w:rsid w:val="009B5455"/>
    <w:rsid w:val="009C05E6"/>
    <w:rsid w:val="009C133A"/>
    <w:rsid w:val="009C255E"/>
    <w:rsid w:val="009C4144"/>
    <w:rsid w:val="009C52FF"/>
    <w:rsid w:val="009C5470"/>
    <w:rsid w:val="009C55D7"/>
    <w:rsid w:val="009C5927"/>
    <w:rsid w:val="009C6E85"/>
    <w:rsid w:val="009C7629"/>
    <w:rsid w:val="009D4732"/>
    <w:rsid w:val="009D5301"/>
    <w:rsid w:val="009D6706"/>
    <w:rsid w:val="009E0C0F"/>
    <w:rsid w:val="009E2CE6"/>
    <w:rsid w:val="009E388B"/>
    <w:rsid w:val="009E39DA"/>
    <w:rsid w:val="009E3D54"/>
    <w:rsid w:val="009E5AB0"/>
    <w:rsid w:val="009E5EAF"/>
    <w:rsid w:val="009E778B"/>
    <w:rsid w:val="009F14FB"/>
    <w:rsid w:val="00A00081"/>
    <w:rsid w:val="00A029CC"/>
    <w:rsid w:val="00A04B61"/>
    <w:rsid w:val="00A051F8"/>
    <w:rsid w:val="00A05EF3"/>
    <w:rsid w:val="00A06A30"/>
    <w:rsid w:val="00A105F8"/>
    <w:rsid w:val="00A14558"/>
    <w:rsid w:val="00A16B05"/>
    <w:rsid w:val="00A17126"/>
    <w:rsid w:val="00A21730"/>
    <w:rsid w:val="00A22ECA"/>
    <w:rsid w:val="00A24019"/>
    <w:rsid w:val="00A24452"/>
    <w:rsid w:val="00A24690"/>
    <w:rsid w:val="00A250CC"/>
    <w:rsid w:val="00A26907"/>
    <w:rsid w:val="00A26CD3"/>
    <w:rsid w:val="00A270B6"/>
    <w:rsid w:val="00A27C3F"/>
    <w:rsid w:val="00A303D3"/>
    <w:rsid w:val="00A31CCD"/>
    <w:rsid w:val="00A321A1"/>
    <w:rsid w:val="00A334CB"/>
    <w:rsid w:val="00A343CA"/>
    <w:rsid w:val="00A37D26"/>
    <w:rsid w:val="00A4031A"/>
    <w:rsid w:val="00A414BC"/>
    <w:rsid w:val="00A417B0"/>
    <w:rsid w:val="00A44900"/>
    <w:rsid w:val="00A452E5"/>
    <w:rsid w:val="00A4531E"/>
    <w:rsid w:val="00A45EDF"/>
    <w:rsid w:val="00A53097"/>
    <w:rsid w:val="00A55208"/>
    <w:rsid w:val="00A55482"/>
    <w:rsid w:val="00A6193C"/>
    <w:rsid w:val="00A62102"/>
    <w:rsid w:val="00A62B6D"/>
    <w:rsid w:val="00A63BD9"/>
    <w:rsid w:val="00A63F94"/>
    <w:rsid w:val="00A658B7"/>
    <w:rsid w:val="00A6591D"/>
    <w:rsid w:val="00A65B35"/>
    <w:rsid w:val="00A65B5D"/>
    <w:rsid w:val="00A66196"/>
    <w:rsid w:val="00A667DA"/>
    <w:rsid w:val="00A66F86"/>
    <w:rsid w:val="00A674AB"/>
    <w:rsid w:val="00A716B5"/>
    <w:rsid w:val="00A7376D"/>
    <w:rsid w:val="00A74399"/>
    <w:rsid w:val="00A754F6"/>
    <w:rsid w:val="00A7682C"/>
    <w:rsid w:val="00A84998"/>
    <w:rsid w:val="00A858D8"/>
    <w:rsid w:val="00A86588"/>
    <w:rsid w:val="00A9046C"/>
    <w:rsid w:val="00A91799"/>
    <w:rsid w:val="00A91B88"/>
    <w:rsid w:val="00A92138"/>
    <w:rsid w:val="00A93E64"/>
    <w:rsid w:val="00A9435A"/>
    <w:rsid w:val="00A96A59"/>
    <w:rsid w:val="00A970A8"/>
    <w:rsid w:val="00AA37EB"/>
    <w:rsid w:val="00AA3E15"/>
    <w:rsid w:val="00AA774B"/>
    <w:rsid w:val="00AB19E0"/>
    <w:rsid w:val="00AB2989"/>
    <w:rsid w:val="00AC2D92"/>
    <w:rsid w:val="00AC5076"/>
    <w:rsid w:val="00AC5FA1"/>
    <w:rsid w:val="00AD0F30"/>
    <w:rsid w:val="00AD21DE"/>
    <w:rsid w:val="00AD39DD"/>
    <w:rsid w:val="00AD518D"/>
    <w:rsid w:val="00AE0565"/>
    <w:rsid w:val="00AE3805"/>
    <w:rsid w:val="00AE69CA"/>
    <w:rsid w:val="00AE7950"/>
    <w:rsid w:val="00AE7E65"/>
    <w:rsid w:val="00AF0230"/>
    <w:rsid w:val="00AF0520"/>
    <w:rsid w:val="00AF22AF"/>
    <w:rsid w:val="00AF50EF"/>
    <w:rsid w:val="00B02A7A"/>
    <w:rsid w:val="00B0370E"/>
    <w:rsid w:val="00B03831"/>
    <w:rsid w:val="00B07F7B"/>
    <w:rsid w:val="00B100F2"/>
    <w:rsid w:val="00B13230"/>
    <w:rsid w:val="00B149CA"/>
    <w:rsid w:val="00B15EEC"/>
    <w:rsid w:val="00B203DF"/>
    <w:rsid w:val="00B20EF8"/>
    <w:rsid w:val="00B21087"/>
    <w:rsid w:val="00B21322"/>
    <w:rsid w:val="00B23E6B"/>
    <w:rsid w:val="00B24ADE"/>
    <w:rsid w:val="00B310E3"/>
    <w:rsid w:val="00B31F68"/>
    <w:rsid w:val="00B3332D"/>
    <w:rsid w:val="00B3363F"/>
    <w:rsid w:val="00B33C1F"/>
    <w:rsid w:val="00B33C7C"/>
    <w:rsid w:val="00B33CCE"/>
    <w:rsid w:val="00B35AFE"/>
    <w:rsid w:val="00B40DD2"/>
    <w:rsid w:val="00B41C17"/>
    <w:rsid w:val="00B42041"/>
    <w:rsid w:val="00B42FDD"/>
    <w:rsid w:val="00B47036"/>
    <w:rsid w:val="00B50097"/>
    <w:rsid w:val="00B50786"/>
    <w:rsid w:val="00B535AA"/>
    <w:rsid w:val="00B5462F"/>
    <w:rsid w:val="00B54C6B"/>
    <w:rsid w:val="00B56778"/>
    <w:rsid w:val="00B56992"/>
    <w:rsid w:val="00B60FE0"/>
    <w:rsid w:val="00B610DB"/>
    <w:rsid w:val="00B61F92"/>
    <w:rsid w:val="00B6410D"/>
    <w:rsid w:val="00B65FCF"/>
    <w:rsid w:val="00B66A9A"/>
    <w:rsid w:val="00B71B49"/>
    <w:rsid w:val="00B720E1"/>
    <w:rsid w:val="00B72682"/>
    <w:rsid w:val="00B729B1"/>
    <w:rsid w:val="00B75353"/>
    <w:rsid w:val="00B76D2C"/>
    <w:rsid w:val="00B77051"/>
    <w:rsid w:val="00B777DF"/>
    <w:rsid w:val="00B77AE9"/>
    <w:rsid w:val="00B77C7A"/>
    <w:rsid w:val="00B809BA"/>
    <w:rsid w:val="00B83AA4"/>
    <w:rsid w:val="00B8532B"/>
    <w:rsid w:val="00B8567A"/>
    <w:rsid w:val="00B8658A"/>
    <w:rsid w:val="00B87D62"/>
    <w:rsid w:val="00B91691"/>
    <w:rsid w:val="00B92BEF"/>
    <w:rsid w:val="00B93554"/>
    <w:rsid w:val="00B94BEF"/>
    <w:rsid w:val="00BA0030"/>
    <w:rsid w:val="00BA09EA"/>
    <w:rsid w:val="00BA2BE2"/>
    <w:rsid w:val="00BA393E"/>
    <w:rsid w:val="00BA4178"/>
    <w:rsid w:val="00BA6980"/>
    <w:rsid w:val="00BA69F7"/>
    <w:rsid w:val="00BA7AD0"/>
    <w:rsid w:val="00BB0B93"/>
    <w:rsid w:val="00BB23F7"/>
    <w:rsid w:val="00BB4724"/>
    <w:rsid w:val="00BB4A02"/>
    <w:rsid w:val="00BB4B98"/>
    <w:rsid w:val="00BB58F8"/>
    <w:rsid w:val="00BB5B0B"/>
    <w:rsid w:val="00BB7CC3"/>
    <w:rsid w:val="00BC1BE4"/>
    <w:rsid w:val="00BC307B"/>
    <w:rsid w:val="00BC3333"/>
    <w:rsid w:val="00BC41FD"/>
    <w:rsid w:val="00BC6AAE"/>
    <w:rsid w:val="00BD164E"/>
    <w:rsid w:val="00BD1E05"/>
    <w:rsid w:val="00BE1722"/>
    <w:rsid w:val="00BE4FA8"/>
    <w:rsid w:val="00BE581F"/>
    <w:rsid w:val="00BE7B24"/>
    <w:rsid w:val="00BF2936"/>
    <w:rsid w:val="00BF3592"/>
    <w:rsid w:val="00BF75E2"/>
    <w:rsid w:val="00C00A93"/>
    <w:rsid w:val="00C00CF4"/>
    <w:rsid w:val="00C031FC"/>
    <w:rsid w:val="00C034AA"/>
    <w:rsid w:val="00C05265"/>
    <w:rsid w:val="00C06DFB"/>
    <w:rsid w:val="00C11027"/>
    <w:rsid w:val="00C11B6C"/>
    <w:rsid w:val="00C13098"/>
    <w:rsid w:val="00C13334"/>
    <w:rsid w:val="00C164DD"/>
    <w:rsid w:val="00C16AD7"/>
    <w:rsid w:val="00C24316"/>
    <w:rsid w:val="00C251AC"/>
    <w:rsid w:val="00C2699C"/>
    <w:rsid w:val="00C26C7C"/>
    <w:rsid w:val="00C27CB0"/>
    <w:rsid w:val="00C31155"/>
    <w:rsid w:val="00C31690"/>
    <w:rsid w:val="00C33D2C"/>
    <w:rsid w:val="00C34DA6"/>
    <w:rsid w:val="00C354AA"/>
    <w:rsid w:val="00C37B4D"/>
    <w:rsid w:val="00C37EF1"/>
    <w:rsid w:val="00C4035B"/>
    <w:rsid w:val="00C41256"/>
    <w:rsid w:val="00C4183B"/>
    <w:rsid w:val="00C4771F"/>
    <w:rsid w:val="00C503EB"/>
    <w:rsid w:val="00C51610"/>
    <w:rsid w:val="00C53232"/>
    <w:rsid w:val="00C532D9"/>
    <w:rsid w:val="00C534B5"/>
    <w:rsid w:val="00C53E43"/>
    <w:rsid w:val="00C54BC4"/>
    <w:rsid w:val="00C54E35"/>
    <w:rsid w:val="00C5522D"/>
    <w:rsid w:val="00C556A6"/>
    <w:rsid w:val="00C62A6C"/>
    <w:rsid w:val="00C63600"/>
    <w:rsid w:val="00C63839"/>
    <w:rsid w:val="00C65664"/>
    <w:rsid w:val="00C673F6"/>
    <w:rsid w:val="00C67687"/>
    <w:rsid w:val="00C7055C"/>
    <w:rsid w:val="00C70E59"/>
    <w:rsid w:val="00C71FEC"/>
    <w:rsid w:val="00C721F4"/>
    <w:rsid w:val="00C729EB"/>
    <w:rsid w:val="00C745A1"/>
    <w:rsid w:val="00C7529B"/>
    <w:rsid w:val="00C77282"/>
    <w:rsid w:val="00C77CF0"/>
    <w:rsid w:val="00C80BA4"/>
    <w:rsid w:val="00C81A4E"/>
    <w:rsid w:val="00C85C94"/>
    <w:rsid w:val="00C85DA8"/>
    <w:rsid w:val="00C87F51"/>
    <w:rsid w:val="00C90D78"/>
    <w:rsid w:val="00C92099"/>
    <w:rsid w:val="00C92964"/>
    <w:rsid w:val="00C92981"/>
    <w:rsid w:val="00C93709"/>
    <w:rsid w:val="00C941AA"/>
    <w:rsid w:val="00C95FC2"/>
    <w:rsid w:val="00C97EC3"/>
    <w:rsid w:val="00CA069F"/>
    <w:rsid w:val="00CA2CE8"/>
    <w:rsid w:val="00CA4152"/>
    <w:rsid w:val="00CA50C4"/>
    <w:rsid w:val="00CA5C4A"/>
    <w:rsid w:val="00CA66A8"/>
    <w:rsid w:val="00CB4E37"/>
    <w:rsid w:val="00CB7DF8"/>
    <w:rsid w:val="00CC07C7"/>
    <w:rsid w:val="00CC134C"/>
    <w:rsid w:val="00CC414A"/>
    <w:rsid w:val="00CC59C0"/>
    <w:rsid w:val="00CC63E7"/>
    <w:rsid w:val="00CC73AE"/>
    <w:rsid w:val="00CD17AA"/>
    <w:rsid w:val="00CD362D"/>
    <w:rsid w:val="00CE048F"/>
    <w:rsid w:val="00CE29D0"/>
    <w:rsid w:val="00CE4D4E"/>
    <w:rsid w:val="00CE501E"/>
    <w:rsid w:val="00CE617E"/>
    <w:rsid w:val="00CE72E1"/>
    <w:rsid w:val="00CE7879"/>
    <w:rsid w:val="00CF06CE"/>
    <w:rsid w:val="00CF6AEA"/>
    <w:rsid w:val="00CF7803"/>
    <w:rsid w:val="00D02895"/>
    <w:rsid w:val="00D0294B"/>
    <w:rsid w:val="00D03CBB"/>
    <w:rsid w:val="00D04802"/>
    <w:rsid w:val="00D10C33"/>
    <w:rsid w:val="00D12076"/>
    <w:rsid w:val="00D12660"/>
    <w:rsid w:val="00D12E82"/>
    <w:rsid w:val="00D1342F"/>
    <w:rsid w:val="00D142BD"/>
    <w:rsid w:val="00D14AF5"/>
    <w:rsid w:val="00D258CE"/>
    <w:rsid w:val="00D27C49"/>
    <w:rsid w:val="00D334D0"/>
    <w:rsid w:val="00D3695E"/>
    <w:rsid w:val="00D4054C"/>
    <w:rsid w:val="00D443AB"/>
    <w:rsid w:val="00D45A6A"/>
    <w:rsid w:val="00D472E7"/>
    <w:rsid w:val="00D47F99"/>
    <w:rsid w:val="00D54073"/>
    <w:rsid w:val="00D54F33"/>
    <w:rsid w:val="00D55FF0"/>
    <w:rsid w:val="00D5779A"/>
    <w:rsid w:val="00D62395"/>
    <w:rsid w:val="00D64A92"/>
    <w:rsid w:val="00D65D00"/>
    <w:rsid w:val="00D67AA3"/>
    <w:rsid w:val="00D707EB"/>
    <w:rsid w:val="00D72AF4"/>
    <w:rsid w:val="00D7566A"/>
    <w:rsid w:val="00D77796"/>
    <w:rsid w:val="00D80FC3"/>
    <w:rsid w:val="00D816AC"/>
    <w:rsid w:val="00D84477"/>
    <w:rsid w:val="00D84FD4"/>
    <w:rsid w:val="00D92625"/>
    <w:rsid w:val="00D93F36"/>
    <w:rsid w:val="00D940E1"/>
    <w:rsid w:val="00D94296"/>
    <w:rsid w:val="00D943F7"/>
    <w:rsid w:val="00D9583D"/>
    <w:rsid w:val="00D97933"/>
    <w:rsid w:val="00DA16C5"/>
    <w:rsid w:val="00DA5ABE"/>
    <w:rsid w:val="00DA5F51"/>
    <w:rsid w:val="00DA6E26"/>
    <w:rsid w:val="00DA765C"/>
    <w:rsid w:val="00DB05F0"/>
    <w:rsid w:val="00DB3C62"/>
    <w:rsid w:val="00DB4442"/>
    <w:rsid w:val="00DB5BE9"/>
    <w:rsid w:val="00DC04B4"/>
    <w:rsid w:val="00DC32F3"/>
    <w:rsid w:val="00DC3332"/>
    <w:rsid w:val="00DC33FA"/>
    <w:rsid w:val="00DC4FCD"/>
    <w:rsid w:val="00DC723A"/>
    <w:rsid w:val="00DD05A5"/>
    <w:rsid w:val="00DD10BF"/>
    <w:rsid w:val="00DD2DB9"/>
    <w:rsid w:val="00DD60DB"/>
    <w:rsid w:val="00DD65D2"/>
    <w:rsid w:val="00DE019C"/>
    <w:rsid w:val="00DE260E"/>
    <w:rsid w:val="00DE3224"/>
    <w:rsid w:val="00DE36FF"/>
    <w:rsid w:val="00DE6628"/>
    <w:rsid w:val="00DF02D4"/>
    <w:rsid w:val="00DF3073"/>
    <w:rsid w:val="00DF63AC"/>
    <w:rsid w:val="00DF714E"/>
    <w:rsid w:val="00DF743F"/>
    <w:rsid w:val="00DF7573"/>
    <w:rsid w:val="00E00BA8"/>
    <w:rsid w:val="00E02297"/>
    <w:rsid w:val="00E02F12"/>
    <w:rsid w:val="00E06D2E"/>
    <w:rsid w:val="00E10614"/>
    <w:rsid w:val="00E11F04"/>
    <w:rsid w:val="00E13379"/>
    <w:rsid w:val="00E13D63"/>
    <w:rsid w:val="00E1734C"/>
    <w:rsid w:val="00E17CE8"/>
    <w:rsid w:val="00E23F87"/>
    <w:rsid w:val="00E23FE2"/>
    <w:rsid w:val="00E2632F"/>
    <w:rsid w:val="00E26EDB"/>
    <w:rsid w:val="00E27649"/>
    <w:rsid w:val="00E279FD"/>
    <w:rsid w:val="00E323E9"/>
    <w:rsid w:val="00E337AD"/>
    <w:rsid w:val="00E34CEF"/>
    <w:rsid w:val="00E34D23"/>
    <w:rsid w:val="00E3566C"/>
    <w:rsid w:val="00E377B9"/>
    <w:rsid w:val="00E422B3"/>
    <w:rsid w:val="00E42632"/>
    <w:rsid w:val="00E42B5A"/>
    <w:rsid w:val="00E44FF5"/>
    <w:rsid w:val="00E457B8"/>
    <w:rsid w:val="00E46F6B"/>
    <w:rsid w:val="00E50BFD"/>
    <w:rsid w:val="00E50F98"/>
    <w:rsid w:val="00E51986"/>
    <w:rsid w:val="00E51BAE"/>
    <w:rsid w:val="00E521BC"/>
    <w:rsid w:val="00E53B2E"/>
    <w:rsid w:val="00E57FE4"/>
    <w:rsid w:val="00E60499"/>
    <w:rsid w:val="00E6142C"/>
    <w:rsid w:val="00E6187A"/>
    <w:rsid w:val="00E6235A"/>
    <w:rsid w:val="00E63735"/>
    <w:rsid w:val="00E63C7A"/>
    <w:rsid w:val="00E64D41"/>
    <w:rsid w:val="00E64EF6"/>
    <w:rsid w:val="00E6556E"/>
    <w:rsid w:val="00E70AF6"/>
    <w:rsid w:val="00E72011"/>
    <w:rsid w:val="00E72592"/>
    <w:rsid w:val="00E73BFA"/>
    <w:rsid w:val="00E74D20"/>
    <w:rsid w:val="00E762D9"/>
    <w:rsid w:val="00E85FE2"/>
    <w:rsid w:val="00E86EC8"/>
    <w:rsid w:val="00E912A4"/>
    <w:rsid w:val="00E93230"/>
    <w:rsid w:val="00E94BC2"/>
    <w:rsid w:val="00E95236"/>
    <w:rsid w:val="00EA0619"/>
    <w:rsid w:val="00EA193C"/>
    <w:rsid w:val="00EA1C27"/>
    <w:rsid w:val="00EA3D41"/>
    <w:rsid w:val="00EA4889"/>
    <w:rsid w:val="00EA4FBE"/>
    <w:rsid w:val="00EA6013"/>
    <w:rsid w:val="00EA6A53"/>
    <w:rsid w:val="00EA762F"/>
    <w:rsid w:val="00EB099A"/>
    <w:rsid w:val="00EB190D"/>
    <w:rsid w:val="00EB283A"/>
    <w:rsid w:val="00EB3E0A"/>
    <w:rsid w:val="00EB6294"/>
    <w:rsid w:val="00EB709E"/>
    <w:rsid w:val="00EC019C"/>
    <w:rsid w:val="00EC1CCC"/>
    <w:rsid w:val="00EC1E4D"/>
    <w:rsid w:val="00EC52D1"/>
    <w:rsid w:val="00EC555B"/>
    <w:rsid w:val="00EC55DE"/>
    <w:rsid w:val="00EC5CC0"/>
    <w:rsid w:val="00EC6695"/>
    <w:rsid w:val="00ED04A7"/>
    <w:rsid w:val="00ED1BCB"/>
    <w:rsid w:val="00ED4088"/>
    <w:rsid w:val="00ED51EC"/>
    <w:rsid w:val="00ED567E"/>
    <w:rsid w:val="00ED5B1B"/>
    <w:rsid w:val="00ED610A"/>
    <w:rsid w:val="00EE1727"/>
    <w:rsid w:val="00EE56A7"/>
    <w:rsid w:val="00EF0CB8"/>
    <w:rsid w:val="00EF59BF"/>
    <w:rsid w:val="00F03F92"/>
    <w:rsid w:val="00F065FE"/>
    <w:rsid w:val="00F07D98"/>
    <w:rsid w:val="00F12FC8"/>
    <w:rsid w:val="00F13A78"/>
    <w:rsid w:val="00F14C9F"/>
    <w:rsid w:val="00F16DB9"/>
    <w:rsid w:val="00F21304"/>
    <w:rsid w:val="00F216C9"/>
    <w:rsid w:val="00F228DE"/>
    <w:rsid w:val="00F238E4"/>
    <w:rsid w:val="00F24B74"/>
    <w:rsid w:val="00F25E4F"/>
    <w:rsid w:val="00F26769"/>
    <w:rsid w:val="00F27331"/>
    <w:rsid w:val="00F27359"/>
    <w:rsid w:val="00F27EB3"/>
    <w:rsid w:val="00F30B2A"/>
    <w:rsid w:val="00F31372"/>
    <w:rsid w:val="00F31614"/>
    <w:rsid w:val="00F33496"/>
    <w:rsid w:val="00F408FD"/>
    <w:rsid w:val="00F409B1"/>
    <w:rsid w:val="00F42F04"/>
    <w:rsid w:val="00F4407D"/>
    <w:rsid w:val="00F46D80"/>
    <w:rsid w:val="00F47ADC"/>
    <w:rsid w:val="00F47F20"/>
    <w:rsid w:val="00F523A6"/>
    <w:rsid w:val="00F52790"/>
    <w:rsid w:val="00F52ECB"/>
    <w:rsid w:val="00F55038"/>
    <w:rsid w:val="00F570EF"/>
    <w:rsid w:val="00F61A0B"/>
    <w:rsid w:val="00F634F7"/>
    <w:rsid w:val="00F65A9F"/>
    <w:rsid w:val="00F66222"/>
    <w:rsid w:val="00F6677F"/>
    <w:rsid w:val="00F66F0E"/>
    <w:rsid w:val="00F67E85"/>
    <w:rsid w:val="00F7143D"/>
    <w:rsid w:val="00F74C52"/>
    <w:rsid w:val="00F7578C"/>
    <w:rsid w:val="00F76454"/>
    <w:rsid w:val="00F80F57"/>
    <w:rsid w:val="00F83EA5"/>
    <w:rsid w:val="00F856BA"/>
    <w:rsid w:val="00F85A1F"/>
    <w:rsid w:val="00F85E39"/>
    <w:rsid w:val="00F86229"/>
    <w:rsid w:val="00F86870"/>
    <w:rsid w:val="00F87070"/>
    <w:rsid w:val="00F904A0"/>
    <w:rsid w:val="00F954E2"/>
    <w:rsid w:val="00F95754"/>
    <w:rsid w:val="00FA09D0"/>
    <w:rsid w:val="00FA1647"/>
    <w:rsid w:val="00FA3D47"/>
    <w:rsid w:val="00FA522C"/>
    <w:rsid w:val="00FA6233"/>
    <w:rsid w:val="00FB3AD6"/>
    <w:rsid w:val="00FB7B45"/>
    <w:rsid w:val="00FB7BB4"/>
    <w:rsid w:val="00FC0DD2"/>
    <w:rsid w:val="00FC14E9"/>
    <w:rsid w:val="00FC4B5C"/>
    <w:rsid w:val="00FC5329"/>
    <w:rsid w:val="00FC5707"/>
    <w:rsid w:val="00FC5C59"/>
    <w:rsid w:val="00FC5D22"/>
    <w:rsid w:val="00FD0CB6"/>
    <w:rsid w:val="00FD2121"/>
    <w:rsid w:val="00FD2D3C"/>
    <w:rsid w:val="00FD35F0"/>
    <w:rsid w:val="00FD3A0C"/>
    <w:rsid w:val="00FD3CB0"/>
    <w:rsid w:val="00FD3D0D"/>
    <w:rsid w:val="00FD5614"/>
    <w:rsid w:val="00FE119F"/>
    <w:rsid w:val="00FE2478"/>
    <w:rsid w:val="00FE4DBB"/>
    <w:rsid w:val="00FE5F03"/>
    <w:rsid w:val="00FF1D93"/>
    <w:rsid w:val="00FF2383"/>
    <w:rsid w:val="00FF39F8"/>
    <w:rsid w:val="013CFA22"/>
    <w:rsid w:val="01A3A62F"/>
    <w:rsid w:val="0239A41E"/>
    <w:rsid w:val="02FC5CA1"/>
    <w:rsid w:val="036B07F2"/>
    <w:rsid w:val="03D86A64"/>
    <w:rsid w:val="04139B12"/>
    <w:rsid w:val="041E7054"/>
    <w:rsid w:val="04F4C9C7"/>
    <w:rsid w:val="04FDFE4F"/>
    <w:rsid w:val="050129C2"/>
    <w:rsid w:val="06150479"/>
    <w:rsid w:val="0641B242"/>
    <w:rsid w:val="06B8AAEF"/>
    <w:rsid w:val="06D88160"/>
    <w:rsid w:val="06EFBD06"/>
    <w:rsid w:val="06F059B6"/>
    <w:rsid w:val="07AEFB91"/>
    <w:rsid w:val="07FC1329"/>
    <w:rsid w:val="08F96B6F"/>
    <w:rsid w:val="0A4A0649"/>
    <w:rsid w:val="0A6B9554"/>
    <w:rsid w:val="0A9210D1"/>
    <w:rsid w:val="0ACC4601"/>
    <w:rsid w:val="0B20451F"/>
    <w:rsid w:val="0B8D48FB"/>
    <w:rsid w:val="0BD37C8E"/>
    <w:rsid w:val="0F32D617"/>
    <w:rsid w:val="0FE06442"/>
    <w:rsid w:val="0FF878A0"/>
    <w:rsid w:val="1030629D"/>
    <w:rsid w:val="114C4D3C"/>
    <w:rsid w:val="117E5794"/>
    <w:rsid w:val="1184FE46"/>
    <w:rsid w:val="127F45A5"/>
    <w:rsid w:val="136D7CE6"/>
    <w:rsid w:val="15718856"/>
    <w:rsid w:val="15F32C8A"/>
    <w:rsid w:val="16B478D8"/>
    <w:rsid w:val="16CBFB39"/>
    <w:rsid w:val="170273CA"/>
    <w:rsid w:val="188B8D10"/>
    <w:rsid w:val="197CB58F"/>
    <w:rsid w:val="1A24A0EA"/>
    <w:rsid w:val="1A4A3D5F"/>
    <w:rsid w:val="1A4F01C2"/>
    <w:rsid w:val="1A580FA0"/>
    <w:rsid w:val="1A6A85E6"/>
    <w:rsid w:val="1B2C3F70"/>
    <w:rsid w:val="1B324622"/>
    <w:rsid w:val="1B869936"/>
    <w:rsid w:val="1C6EDF04"/>
    <w:rsid w:val="1D1E1DA6"/>
    <w:rsid w:val="1E279559"/>
    <w:rsid w:val="1FAC7FE5"/>
    <w:rsid w:val="1FF5740D"/>
    <w:rsid w:val="2035607E"/>
    <w:rsid w:val="206C7295"/>
    <w:rsid w:val="20F98438"/>
    <w:rsid w:val="2120FF04"/>
    <w:rsid w:val="21309100"/>
    <w:rsid w:val="214D1EFE"/>
    <w:rsid w:val="221BFC76"/>
    <w:rsid w:val="2266423C"/>
    <w:rsid w:val="22E551E4"/>
    <w:rsid w:val="244908E6"/>
    <w:rsid w:val="257E3CF9"/>
    <w:rsid w:val="25F49220"/>
    <w:rsid w:val="263D6DF7"/>
    <w:rsid w:val="265EC3EA"/>
    <w:rsid w:val="269850A1"/>
    <w:rsid w:val="27FF0C88"/>
    <w:rsid w:val="282AF3BE"/>
    <w:rsid w:val="285D52E7"/>
    <w:rsid w:val="28E5AFE9"/>
    <w:rsid w:val="293ED159"/>
    <w:rsid w:val="29443DFE"/>
    <w:rsid w:val="2989291C"/>
    <w:rsid w:val="299337A7"/>
    <w:rsid w:val="29960C0B"/>
    <w:rsid w:val="2B3BF8C0"/>
    <w:rsid w:val="2B42421C"/>
    <w:rsid w:val="2BA2D075"/>
    <w:rsid w:val="2BF909F6"/>
    <w:rsid w:val="2C852A97"/>
    <w:rsid w:val="2DD446E8"/>
    <w:rsid w:val="2E37E90C"/>
    <w:rsid w:val="3051A3FC"/>
    <w:rsid w:val="30A6667D"/>
    <w:rsid w:val="30D0B349"/>
    <w:rsid w:val="30D371C5"/>
    <w:rsid w:val="319595E9"/>
    <w:rsid w:val="31AF55BE"/>
    <w:rsid w:val="31B24CCF"/>
    <w:rsid w:val="3264AD87"/>
    <w:rsid w:val="33906F9C"/>
    <w:rsid w:val="34678090"/>
    <w:rsid w:val="347BEFAB"/>
    <w:rsid w:val="34A3C69F"/>
    <w:rsid w:val="34B3DF20"/>
    <w:rsid w:val="34C30F93"/>
    <w:rsid w:val="351E083B"/>
    <w:rsid w:val="35D9A7BD"/>
    <w:rsid w:val="360D01CD"/>
    <w:rsid w:val="366C86ED"/>
    <w:rsid w:val="36B4FBE2"/>
    <w:rsid w:val="37194F15"/>
    <w:rsid w:val="3772985D"/>
    <w:rsid w:val="37B5BE4C"/>
    <w:rsid w:val="38B17862"/>
    <w:rsid w:val="38DE098F"/>
    <w:rsid w:val="39AC3AE4"/>
    <w:rsid w:val="39BE63B2"/>
    <w:rsid w:val="39C064C7"/>
    <w:rsid w:val="3B4BF569"/>
    <w:rsid w:val="3C3E6E7A"/>
    <w:rsid w:val="3C707B23"/>
    <w:rsid w:val="3C8B7D2B"/>
    <w:rsid w:val="3C9915AE"/>
    <w:rsid w:val="3D0B1B74"/>
    <w:rsid w:val="3D0E89AC"/>
    <w:rsid w:val="3DDED51B"/>
    <w:rsid w:val="3DF6577C"/>
    <w:rsid w:val="3E762F90"/>
    <w:rsid w:val="3ED1A0C5"/>
    <w:rsid w:val="3EF44F0E"/>
    <w:rsid w:val="3F2A0832"/>
    <w:rsid w:val="3FD358B0"/>
    <w:rsid w:val="3FE3A841"/>
    <w:rsid w:val="3FEFE5B2"/>
    <w:rsid w:val="4013B762"/>
    <w:rsid w:val="40483CC8"/>
    <w:rsid w:val="40A1D313"/>
    <w:rsid w:val="40F30463"/>
    <w:rsid w:val="415446A4"/>
    <w:rsid w:val="421253BC"/>
    <w:rsid w:val="42886F0B"/>
    <w:rsid w:val="428B7348"/>
    <w:rsid w:val="43B6F3A1"/>
    <w:rsid w:val="444B17A3"/>
    <w:rsid w:val="44EB47FB"/>
    <w:rsid w:val="4507456F"/>
    <w:rsid w:val="4535EF4C"/>
    <w:rsid w:val="45D7B4E0"/>
    <w:rsid w:val="46250C6B"/>
    <w:rsid w:val="474D5F45"/>
    <w:rsid w:val="478CAD9E"/>
    <w:rsid w:val="485EF9B9"/>
    <w:rsid w:val="486AD6F0"/>
    <w:rsid w:val="4904AC96"/>
    <w:rsid w:val="49A7F188"/>
    <w:rsid w:val="4A2F58FF"/>
    <w:rsid w:val="4A6B5A13"/>
    <w:rsid w:val="4A6E5B1D"/>
    <w:rsid w:val="4A99D0B7"/>
    <w:rsid w:val="4AE5A863"/>
    <w:rsid w:val="4B1AF0A8"/>
    <w:rsid w:val="4B2DDAB8"/>
    <w:rsid w:val="4B96A461"/>
    <w:rsid w:val="4C574C7F"/>
    <w:rsid w:val="4CD57991"/>
    <w:rsid w:val="4CEEEDEE"/>
    <w:rsid w:val="4D57F536"/>
    <w:rsid w:val="4D8F1187"/>
    <w:rsid w:val="4DD04085"/>
    <w:rsid w:val="4E2934F4"/>
    <w:rsid w:val="4E92059A"/>
    <w:rsid w:val="4E930102"/>
    <w:rsid w:val="4F097030"/>
    <w:rsid w:val="4F755C23"/>
    <w:rsid w:val="4FE3A6B2"/>
    <w:rsid w:val="5064B5AF"/>
    <w:rsid w:val="5169969F"/>
    <w:rsid w:val="51951893"/>
    <w:rsid w:val="51C6300E"/>
    <w:rsid w:val="5258A3BF"/>
    <w:rsid w:val="52900394"/>
    <w:rsid w:val="5337F421"/>
    <w:rsid w:val="538AF696"/>
    <w:rsid w:val="5414FEE0"/>
    <w:rsid w:val="54B73368"/>
    <w:rsid w:val="54DAAAEE"/>
    <w:rsid w:val="5632622A"/>
    <w:rsid w:val="56D32BF5"/>
    <w:rsid w:val="57532B67"/>
    <w:rsid w:val="589D0E2F"/>
    <w:rsid w:val="58D5A3BC"/>
    <w:rsid w:val="5A193C5F"/>
    <w:rsid w:val="5C103657"/>
    <w:rsid w:val="5CF9499A"/>
    <w:rsid w:val="5DB5EC13"/>
    <w:rsid w:val="5DC4DBB1"/>
    <w:rsid w:val="5E583940"/>
    <w:rsid w:val="5E780F89"/>
    <w:rsid w:val="5EC6792E"/>
    <w:rsid w:val="5FAB5846"/>
    <w:rsid w:val="603A24C2"/>
    <w:rsid w:val="605C99B8"/>
    <w:rsid w:val="606F5586"/>
    <w:rsid w:val="61674759"/>
    <w:rsid w:val="62E3E7B3"/>
    <w:rsid w:val="630317BA"/>
    <w:rsid w:val="636B263A"/>
    <w:rsid w:val="649BB9D2"/>
    <w:rsid w:val="64CE7E45"/>
    <w:rsid w:val="6501DFA8"/>
    <w:rsid w:val="65092D15"/>
    <w:rsid w:val="653B2BEC"/>
    <w:rsid w:val="657E39CA"/>
    <w:rsid w:val="665E624D"/>
    <w:rsid w:val="68332067"/>
    <w:rsid w:val="683A9B7B"/>
    <w:rsid w:val="687DF045"/>
    <w:rsid w:val="68D8F9BF"/>
    <w:rsid w:val="68EA966F"/>
    <w:rsid w:val="693F2413"/>
    <w:rsid w:val="69617FD0"/>
    <w:rsid w:val="69796DC3"/>
    <w:rsid w:val="6987B99A"/>
    <w:rsid w:val="698968A1"/>
    <w:rsid w:val="69BC97C5"/>
    <w:rsid w:val="6B338014"/>
    <w:rsid w:val="6C72B213"/>
    <w:rsid w:val="6CB8F466"/>
    <w:rsid w:val="6D4DD88E"/>
    <w:rsid w:val="6DA51206"/>
    <w:rsid w:val="6E0E8274"/>
    <w:rsid w:val="6EC17B13"/>
    <w:rsid w:val="6EE3F20B"/>
    <w:rsid w:val="6FB69475"/>
    <w:rsid w:val="70A5EF0A"/>
    <w:rsid w:val="71B12640"/>
    <w:rsid w:val="71B7D9D9"/>
    <w:rsid w:val="71DC0D47"/>
    <w:rsid w:val="71E2E92C"/>
    <w:rsid w:val="72293737"/>
    <w:rsid w:val="722CC925"/>
    <w:rsid w:val="728E9CCB"/>
    <w:rsid w:val="72EB2673"/>
    <w:rsid w:val="734CF6A1"/>
    <w:rsid w:val="7400491D"/>
    <w:rsid w:val="7401545C"/>
    <w:rsid w:val="740EB6D0"/>
    <w:rsid w:val="7533ACA8"/>
    <w:rsid w:val="75699D3C"/>
    <w:rsid w:val="75754D23"/>
    <w:rsid w:val="7621E2AE"/>
    <w:rsid w:val="7646ACA4"/>
    <w:rsid w:val="76C0B6FE"/>
    <w:rsid w:val="772894F1"/>
    <w:rsid w:val="7763782C"/>
    <w:rsid w:val="77F5746A"/>
    <w:rsid w:val="787AC026"/>
    <w:rsid w:val="7886E9DD"/>
    <w:rsid w:val="78A0A686"/>
    <w:rsid w:val="78C7473D"/>
    <w:rsid w:val="7AB2660C"/>
    <w:rsid w:val="7ACF1DC0"/>
    <w:rsid w:val="7B25E8CE"/>
    <w:rsid w:val="7B674087"/>
    <w:rsid w:val="7D62A095"/>
    <w:rsid w:val="7D6BE9DE"/>
    <w:rsid w:val="7E0792D9"/>
    <w:rsid w:val="7F25C97D"/>
    <w:rsid w:val="7F50447A"/>
    <w:rsid w:val="7F536A74"/>
    <w:rsid w:val="7FA8F407"/>
    <w:rsid w:val="7FCD3B8C"/>
    <w:rsid w:val="7FD5CD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0597b"/>
    </o:shapedefaults>
    <o:shapelayout v:ext="edit">
      <o:idmap v:ext="edit" data="2"/>
    </o:shapelayout>
  </w:shapeDefaults>
  <w:decimalSymbol w:val="."/>
  <w:listSeparator w:val=","/>
  <w14:docId w14:val="675FA120"/>
  <w15:docId w15:val="{F77B5ADC-2F86-4958-8CD3-6D0AE06B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E9"/>
    <w:pPr>
      <w:spacing w:after="200" w:line="276" w:lineRule="auto"/>
    </w:pPr>
    <w:rPr>
      <w:sz w:val="22"/>
      <w:szCs w:val="22"/>
      <w:lang w:eastAsia="en-US"/>
    </w:rPr>
  </w:style>
  <w:style w:type="paragraph" w:styleId="Heading1">
    <w:name w:val="heading 1"/>
    <w:basedOn w:val="Normal"/>
    <w:next w:val="Normal"/>
    <w:link w:val="Heading1Char"/>
    <w:qFormat/>
    <w:rsid w:val="0056564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E56A7"/>
    <w:pPr>
      <w:keepNext/>
      <w:numPr>
        <w:ilvl w:val="1"/>
        <w:numId w:val="12"/>
      </w:numPr>
      <w:spacing w:before="240" w:after="60" w:line="240" w:lineRule="auto"/>
      <w:outlineLvl w:val="1"/>
    </w:pPr>
    <w:rPr>
      <w:rFonts w:ascii="Arial" w:eastAsia="Times New Roman" w:hAnsi="Arial"/>
      <w:b/>
      <w:i/>
      <w:sz w:val="24"/>
      <w:szCs w:val="20"/>
    </w:rPr>
  </w:style>
  <w:style w:type="paragraph" w:styleId="Heading3">
    <w:name w:val="heading 3"/>
    <w:basedOn w:val="Normal"/>
    <w:next w:val="Normal"/>
    <w:link w:val="Heading3Char"/>
    <w:unhideWhenUsed/>
    <w:qFormat/>
    <w:rsid w:val="006401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401E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6401E7"/>
    <w:pPr>
      <w:tabs>
        <w:tab w:val="num" w:pos="2880"/>
      </w:tabs>
      <w:adjustRightInd w:val="0"/>
      <w:spacing w:after="240" w:line="240" w:lineRule="auto"/>
      <w:ind w:left="2880" w:hanging="720"/>
      <w:jc w:val="both"/>
      <w:outlineLvl w:val="4"/>
    </w:pPr>
    <w:rPr>
      <w:rFonts w:ascii="Times New Roman" w:eastAsia="STZhongsong" w:hAnsi="Times New Roman"/>
      <w:szCs w:val="20"/>
      <w:lang w:eastAsia="zh-CN"/>
    </w:rPr>
  </w:style>
  <w:style w:type="paragraph" w:styleId="Heading6">
    <w:name w:val="heading 6"/>
    <w:basedOn w:val="Normal"/>
    <w:link w:val="Heading6Char"/>
    <w:qFormat/>
    <w:rsid w:val="006401E7"/>
    <w:pPr>
      <w:tabs>
        <w:tab w:val="num" w:pos="3600"/>
      </w:tabs>
      <w:adjustRightInd w:val="0"/>
      <w:spacing w:after="240" w:line="240" w:lineRule="auto"/>
      <w:ind w:left="3600" w:hanging="720"/>
      <w:jc w:val="both"/>
      <w:outlineLvl w:val="5"/>
    </w:pPr>
    <w:rPr>
      <w:rFonts w:ascii="Times New Roman" w:eastAsia="STZhongsong" w:hAnsi="Times New Roman"/>
      <w:szCs w:val="20"/>
      <w:lang w:eastAsia="zh-CN"/>
    </w:rPr>
  </w:style>
  <w:style w:type="paragraph" w:styleId="Heading7">
    <w:name w:val="heading 7"/>
    <w:basedOn w:val="Normal"/>
    <w:link w:val="Heading7Char"/>
    <w:qFormat/>
    <w:rsid w:val="006401E7"/>
    <w:pPr>
      <w:tabs>
        <w:tab w:val="num" w:pos="4320"/>
      </w:tabs>
      <w:adjustRightInd w:val="0"/>
      <w:spacing w:after="240" w:line="240" w:lineRule="auto"/>
      <w:ind w:left="4320" w:hanging="720"/>
      <w:jc w:val="both"/>
      <w:outlineLvl w:val="6"/>
    </w:pPr>
    <w:rPr>
      <w:rFonts w:ascii="Times New Roman" w:eastAsia="STZhongsong" w:hAnsi="Times New Roman"/>
      <w:szCs w:val="20"/>
      <w:lang w:eastAsia="zh-CN"/>
    </w:rPr>
  </w:style>
  <w:style w:type="paragraph" w:styleId="Heading8">
    <w:name w:val="heading 8"/>
    <w:basedOn w:val="Normal"/>
    <w:link w:val="Heading8Char"/>
    <w:qFormat/>
    <w:rsid w:val="006401E7"/>
    <w:pPr>
      <w:tabs>
        <w:tab w:val="num" w:pos="4320"/>
      </w:tabs>
      <w:adjustRightInd w:val="0"/>
      <w:spacing w:after="240" w:line="240" w:lineRule="auto"/>
      <w:ind w:left="4320" w:hanging="720"/>
      <w:jc w:val="both"/>
      <w:outlineLvl w:val="7"/>
    </w:pPr>
    <w:rPr>
      <w:rFonts w:ascii="Times New Roman" w:eastAsia="STZhongsong" w:hAnsi="Times New Roman"/>
      <w:szCs w:val="20"/>
      <w:lang w:eastAsia="zh-CN"/>
    </w:rPr>
  </w:style>
  <w:style w:type="paragraph" w:styleId="Heading9">
    <w:name w:val="heading 9"/>
    <w:basedOn w:val="Normal"/>
    <w:link w:val="Heading9Char"/>
    <w:qFormat/>
    <w:rsid w:val="006401E7"/>
    <w:pPr>
      <w:tabs>
        <w:tab w:val="num" w:pos="4320"/>
      </w:tabs>
      <w:adjustRightInd w:val="0"/>
      <w:spacing w:after="240" w:line="240" w:lineRule="auto"/>
      <w:ind w:left="4320" w:hanging="720"/>
      <w:jc w:val="both"/>
      <w:outlineLvl w:val="8"/>
    </w:pPr>
    <w:rPr>
      <w:rFonts w:ascii="Times New Roman" w:eastAsia="STZhongsong" w:hAnsi="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609"/>
  </w:style>
  <w:style w:type="paragraph" w:styleId="Footer">
    <w:name w:val="footer"/>
    <w:basedOn w:val="Normal"/>
    <w:link w:val="FooterChar"/>
    <w:unhideWhenUsed/>
    <w:rsid w:val="0073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609"/>
  </w:style>
  <w:style w:type="paragraph" w:styleId="BalloonText">
    <w:name w:val="Balloon Text"/>
    <w:basedOn w:val="Normal"/>
    <w:link w:val="BalloonTextChar"/>
    <w:semiHidden/>
    <w:unhideWhenUsed/>
    <w:rsid w:val="007316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1609"/>
    <w:rPr>
      <w:rFonts w:ascii="Tahoma" w:hAnsi="Tahoma" w:cs="Tahoma"/>
      <w:sz w:val="16"/>
      <w:szCs w:val="16"/>
    </w:rPr>
  </w:style>
  <w:style w:type="character" w:styleId="Hyperlink">
    <w:name w:val="Hyperlink"/>
    <w:uiPriority w:val="99"/>
    <w:unhideWhenUsed/>
    <w:rsid w:val="00A414BC"/>
    <w:rPr>
      <w:color w:val="0000FF"/>
      <w:u w:val="single"/>
    </w:rPr>
  </w:style>
  <w:style w:type="table" w:styleId="TableGrid">
    <w:name w:val="Table Grid"/>
    <w:basedOn w:val="TableNormal"/>
    <w:rsid w:val="00BA2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D49EF"/>
    <w:pPr>
      <w:spacing w:after="0" w:line="240" w:lineRule="auto"/>
    </w:pPr>
    <w:rPr>
      <w:rFonts w:ascii="Consolas" w:hAnsi="Consolas"/>
      <w:sz w:val="21"/>
      <w:szCs w:val="21"/>
    </w:rPr>
  </w:style>
  <w:style w:type="character" w:customStyle="1" w:styleId="PlainTextChar">
    <w:name w:val="Plain Text Char"/>
    <w:link w:val="PlainText"/>
    <w:uiPriority w:val="99"/>
    <w:rsid w:val="000D49EF"/>
    <w:rPr>
      <w:rFonts w:ascii="Consolas" w:eastAsia="Calibri" w:hAnsi="Consolas" w:cs="Times New Roman"/>
      <w:sz w:val="21"/>
      <w:szCs w:val="21"/>
    </w:rPr>
  </w:style>
  <w:style w:type="character" w:customStyle="1" w:styleId="Heading1Char">
    <w:name w:val="Heading 1 Char"/>
    <w:link w:val="Heading1"/>
    <w:uiPriority w:val="9"/>
    <w:rsid w:val="00565647"/>
    <w:rPr>
      <w:rFonts w:ascii="Cambria" w:eastAsia="Times New Roman" w:hAnsi="Cambria" w:cs="Times New Roman"/>
      <w:b/>
      <w:bCs/>
      <w:kern w:val="32"/>
      <w:sz w:val="32"/>
      <w:szCs w:val="32"/>
      <w:lang w:val="en-US" w:eastAsia="en-US"/>
    </w:rPr>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
    <w:basedOn w:val="Normal"/>
    <w:link w:val="ListParagraphChar"/>
    <w:uiPriority w:val="34"/>
    <w:qFormat/>
    <w:rsid w:val="001045A5"/>
    <w:pPr>
      <w:spacing w:after="0" w:line="240" w:lineRule="auto"/>
      <w:ind w:left="720"/>
    </w:pPr>
    <w:rPr>
      <w:rFonts w:eastAsiaTheme="minorHAnsi"/>
      <w:lang w:eastAsia="en-GB"/>
    </w:rPr>
  </w:style>
  <w:style w:type="character" w:customStyle="1" w:styleId="Heading2Char">
    <w:name w:val="Heading 2 Char"/>
    <w:basedOn w:val="DefaultParagraphFont"/>
    <w:link w:val="Heading2"/>
    <w:rsid w:val="00EE56A7"/>
    <w:rPr>
      <w:rFonts w:ascii="Arial" w:eastAsia="Times New Roman" w:hAnsi="Arial"/>
      <w:b/>
      <w:i/>
      <w:sz w:val="24"/>
      <w:lang w:eastAsia="en-US"/>
    </w:rPr>
  </w:style>
  <w:style w:type="paragraph" w:customStyle="1" w:styleId="MRheading1">
    <w:name w:val="M&amp;R heading 1"/>
    <w:basedOn w:val="Normal"/>
    <w:uiPriority w:val="99"/>
    <w:rsid w:val="00EE56A7"/>
    <w:pPr>
      <w:keepNext/>
      <w:keepLines/>
      <w:numPr>
        <w:numId w:val="4"/>
      </w:numPr>
      <w:tabs>
        <w:tab w:val="clear" w:pos="1430"/>
        <w:tab w:val="num" w:pos="720"/>
      </w:tabs>
      <w:spacing w:before="240" w:after="0" w:line="360" w:lineRule="auto"/>
      <w:ind w:left="720"/>
      <w:jc w:val="both"/>
    </w:pPr>
    <w:rPr>
      <w:rFonts w:ascii="Arial" w:eastAsia="Times New Roman" w:hAnsi="Arial"/>
      <w:b/>
      <w:szCs w:val="20"/>
      <w:u w:val="single"/>
      <w:lang w:eastAsia="en-GB"/>
    </w:rPr>
  </w:style>
  <w:style w:type="paragraph" w:customStyle="1" w:styleId="MRheading2">
    <w:name w:val="M&amp;R heading 2"/>
    <w:basedOn w:val="Normal"/>
    <w:uiPriority w:val="99"/>
    <w:rsid w:val="00EE56A7"/>
    <w:pPr>
      <w:numPr>
        <w:ilvl w:val="1"/>
        <w:numId w:val="4"/>
      </w:numPr>
      <w:spacing w:before="240" w:after="0" w:line="360" w:lineRule="auto"/>
      <w:jc w:val="both"/>
      <w:outlineLvl w:val="1"/>
    </w:pPr>
    <w:rPr>
      <w:rFonts w:ascii="Arial" w:eastAsia="Times New Roman" w:hAnsi="Arial"/>
      <w:szCs w:val="20"/>
      <w:lang w:eastAsia="en-GB"/>
    </w:rPr>
  </w:style>
  <w:style w:type="paragraph" w:customStyle="1" w:styleId="MRheading3">
    <w:name w:val="M&amp;R heading 3"/>
    <w:basedOn w:val="Normal"/>
    <w:uiPriority w:val="99"/>
    <w:rsid w:val="00EE56A7"/>
    <w:pPr>
      <w:numPr>
        <w:ilvl w:val="2"/>
        <w:numId w:val="4"/>
      </w:numPr>
      <w:spacing w:before="240" w:after="0" w:line="360" w:lineRule="auto"/>
      <w:jc w:val="both"/>
      <w:outlineLvl w:val="2"/>
    </w:pPr>
    <w:rPr>
      <w:rFonts w:ascii="Arial" w:eastAsia="Times New Roman" w:hAnsi="Arial"/>
      <w:szCs w:val="20"/>
      <w:lang w:eastAsia="en-GB"/>
    </w:rPr>
  </w:style>
  <w:style w:type="paragraph" w:customStyle="1" w:styleId="MRheading4">
    <w:name w:val="M&amp;R heading 4"/>
    <w:basedOn w:val="Normal"/>
    <w:uiPriority w:val="99"/>
    <w:rsid w:val="00EE56A7"/>
    <w:pPr>
      <w:numPr>
        <w:ilvl w:val="3"/>
        <w:numId w:val="4"/>
      </w:numPr>
      <w:spacing w:before="240" w:after="0" w:line="360" w:lineRule="auto"/>
      <w:jc w:val="both"/>
      <w:outlineLvl w:val="3"/>
    </w:pPr>
    <w:rPr>
      <w:rFonts w:ascii="Arial" w:eastAsia="Times New Roman" w:hAnsi="Arial"/>
      <w:szCs w:val="20"/>
      <w:lang w:eastAsia="en-GB"/>
    </w:rPr>
  </w:style>
  <w:style w:type="paragraph" w:customStyle="1" w:styleId="MRheading5">
    <w:name w:val="M&amp;R heading 5"/>
    <w:basedOn w:val="Normal"/>
    <w:uiPriority w:val="99"/>
    <w:rsid w:val="00EE56A7"/>
    <w:pPr>
      <w:numPr>
        <w:ilvl w:val="4"/>
        <w:numId w:val="4"/>
      </w:numPr>
      <w:spacing w:before="240" w:after="0" w:line="360" w:lineRule="auto"/>
      <w:jc w:val="both"/>
      <w:outlineLvl w:val="4"/>
    </w:pPr>
    <w:rPr>
      <w:rFonts w:ascii="Arial" w:eastAsia="Times New Roman" w:hAnsi="Arial"/>
      <w:szCs w:val="20"/>
      <w:lang w:eastAsia="en-GB"/>
    </w:rPr>
  </w:style>
  <w:style w:type="paragraph" w:customStyle="1" w:styleId="MRheading6">
    <w:name w:val="M&amp;R heading 6"/>
    <w:basedOn w:val="Normal"/>
    <w:uiPriority w:val="99"/>
    <w:rsid w:val="00EE56A7"/>
    <w:pPr>
      <w:numPr>
        <w:ilvl w:val="5"/>
        <w:numId w:val="4"/>
      </w:numPr>
      <w:spacing w:before="240" w:after="0" w:line="360" w:lineRule="auto"/>
      <w:jc w:val="both"/>
      <w:outlineLvl w:val="5"/>
    </w:pPr>
    <w:rPr>
      <w:rFonts w:ascii="Arial" w:eastAsia="Times New Roman" w:hAnsi="Arial"/>
      <w:szCs w:val="20"/>
      <w:lang w:eastAsia="en-GB"/>
    </w:rPr>
  </w:style>
  <w:style w:type="paragraph" w:customStyle="1" w:styleId="MRheading7">
    <w:name w:val="M&amp;R heading 7"/>
    <w:basedOn w:val="Normal"/>
    <w:uiPriority w:val="99"/>
    <w:rsid w:val="00EE56A7"/>
    <w:pPr>
      <w:numPr>
        <w:ilvl w:val="6"/>
        <w:numId w:val="4"/>
      </w:numPr>
      <w:spacing w:before="240" w:after="0" w:line="360" w:lineRule="auto"/>
      <w:jc w:val="both"/>
      <w:outlineLvl w:val="6"/>
    </w:pPr>
    <w:rPr>
      <w:rFonts w:ascii="Arial" w:eastAsia="Times New Roman" w:hAnsi="Arial"/>
      <w:szCs w:val="20"/>
      <w:lang w:eastAsia="en-GB"/>
    </w:rPr>
  </w:style>
  <w:style w:type="paragraph" w:customStyle="1" w:styleId="MRheading8">
    <w:name w:val="M&amp;R heading 8"/>
    <w:basedOn w:val="Normal"/>
    <w:uiPriority w:val="99"/>
    <w:rsid w:val="00EE56A7"/>
    <w:pPr>
      <w:numPr>
        <w:ilvl w:val="7"/>
        <w:numId w:val="4"/>
      </w:numPr>
      <w:spacing w:before="240" w:after="0" w:line="360" w:lineRule="auto"/>
      <w:jc w:val="both"/>
      <w:outlineLvl w:val="7"/>
    </w:pPr>
    <w:rPr>
      <w:rFonts w:ascii="Arial" w:eastAsia="Times New Roman" w:hAnsi="Arial"/>
      <w:szCs w:val="20"/>
      <w:lang w:eastAsia="en-GB"/>
    </w:rPr>
  </w:style>
  <w:style w:type="paragraph" w:customStyle="1" w:styleId="MRheading9">
    <w:name w:val="M&amp;R heading 9"/>
    <w:basedOn w:val="Normal"/>
    <w:uiPriority w:val="99"/>
    <w:rsid w:val="00EE56A7"/>
    <w:pPr>
      <w:numPr>
        <w:ilvl w:val="8"/>
        <w:numId w:val="4"/>
      </w:numPr>
      <w:spacing w:before="240" w:after="0" w:line="360" w:lineRule="auto"/>
      <w:jc w:val="both"/>
      <w:outlineLvl w:val="8"/>
    </w:pPr>
    <w:rPr>
      <w:rFonts w:ascii="Arial" w:eastAsia="Times New Roman" w:hAnsi="Arial"/>
      <w:szCs w:val="20"/>
      <w:lang w:eastAsia="en-GB"/>
    </w:rPr>
  </w:style>
  <w:style w:type="paragraph" w:customStyle="1" w:styleId="MRNoHead1">
    <w:name w:val="M&amp;R No Head 1"/>
    <w:basedOn w:val="Normal"/>
    <w:rsid w:val="00EE56A7"/>
    <w:pPr>
      <w:numPr>
        <w:numId w:val="5"/>
      </w:numPr>
      <w:spacing w:before="240" w:after="0" w:line="360" w:lineRule="auto"/>
      <w:jc w:val="both"/>
    </w:pPr>
    <w:rPr>
      <w:rFonts w:ascii="Arial" w:eastAsia="Times New Roman" w:hAnsi="Arial"/>
      <w:szCs w:val="20"/>
      <w:lang w:eastAsia="en-GB"/>
    </w:rPr>
  </w:style>
  <w:style w:type="paragraph" w:customStyle="1" w:styleId="MRNoHead2">
    <w:name w:val="M&amp;R No Head 2"/>
    <w:basedOn w:val="MRNoHead1"/>
    <w:rsid w:val="00EE56A7"/>
    <w:pPr>
      <w:numPr>
        <w:ilvl w:val="1"/>
      </w:numPr>
    </w:pPr>
  </w:style>
  <w:style w:type="paragraph" w:customStyle="1" w:styleId="MRNoHead3">
    <w:name w:val="M&amp;R No Head 3"/>
    <w:basedOn w:val="MRNoHead1"/>
    <w:rsid w:val="00EE56A7"/>
    <w:pPr>
      <w:numPr>
        <w:ilvl w:val="2"/>
      </w:numPr>
    </w:pPr>
  </w:style>
  <w:style w:type="paragraph" w:customStyle="1" w:styleId="MRNoHead4">
    <w:name w:val="M&amp;R No Head 4"/>
    <w:basedOn w:val="Normal"/>
    <w:rsid w:val="00EE56A7"/>
    <w:pPr>
      <w:numPr>
        <w:ilvl w:val="3"/>
        <w:numId w:val="5"/>
      </w:numPr>
      <w:spacing w:before="240" w:after="0" w:line="360" w:lineRule="auto"/>
      <w:jc w:val="both"/>
    </w:pPr>
    <w:rPr>
      <w:rFonts w:ascii="Arial" w:eastAsia="Times New Roman" w:hAnsi="Arial"/>
      <w:szCs w:val="20"/>
      <w:lang w:eastAsia="en-GB"/>
    </w:rPr>
  </w:style>
  <w:style w:type="paragraph" w:customStyle="1" w:styleId="MRNoHead5">
    <w:name w:val="M&amp;R No Head 5"/>
    <w:basedOn w:val="MRNoHead1"/>
    <w:rsid w:val="00EE56A7"/>
    <w:pPr>
      <w:numPr>
        <w:ilvl w:val="4"/>
      </w:numPr>
    </w:pPr>
  </w:style>
  <w:style w:type="paragraph" w:customStyle="1" w:styleId="MRNoHead6">
    <w:name w:val="M&amp;R No Head 6"/>
    <w:basedOn w:val="MRNoHead1"/>
    <w:rsid w:val="00EE56A7"/>
    <w:pPr>
      <w:numPr>
        <w:ilvl w:val="5"/>
      </w:numPr>
    </w:pPr>
  </w:style>
  <w:style w:type="paragraph" w:customStyle="1" w:styleId="MRNoHead7">
    <w:name w:val="M&amp;R No Head 7"/>
    <w:basedOn w:val="MRNoHead1"/>
    <w:rsid w:val="00EE56A7"/>
    <w:pPr>
      <w:numPr>
        <w:ilvl w:val="6"/>
      </w:numPr>
    </w:pPr>
  </w:style>
  <w:style w:type="paragraph" w:customStyle="1" w:styleId="MRNoHead8">
    <w:name w:val="M&amp;R No Head 8"/>
    <w:basedOn w:val="MRNoHead1"/>
    <w:rsid w:val="00EE56A7"/>
    <w:pPr>
      <w:numPr>
        <w:ilvl w:val="7"/>
      </w:numPr>
    </w:pPr>
  </w:style>
  <w:style w:type="paragraph" w:customStyle="1" w:styleId="MRNoHead9">
    <w:name w:val="M&amp;R No Head 9"/>
    <w:basedOn w:val="MRNoHead1"/>
    <w:rsid w:val="00EE56A7"/>
    <w:pPr>
      <w:numPr>
        <w:ilvl w:val="8"/>
      </w:numPr>
    </w:pPr>
  </w:style>
  <w:style w:type="character" w:styleId="CommentReference">
    <w:name w:val="annotation reference"/>
    <w:semiHidden/>
    <w:rsid w:val="00EE56A7"/>
    <w:rPr>
      <w:rFonts w:cs="Times New Roman"/>
      <w:sz w:val="16"/>
      <w:szCs w:val="16"/>
    </w:rPr>
  </w:style>
  <w:style w:type="paragraph" w:styleId="CommentText">
    <w:name w:val="annotation text"/>
    <w:basedOn w:val="Normal"/>
    <w:link w:val="CommentTextChar"/>
    <w:semiHidden/>
    <w:rsid w:val="00EE56A7"/>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EE56A7"/>
    <w:rPr>
      <w:rFonts w:ascii="Times New Roman" w:eastAsia="Times New Roman" w:hAnsi="Times New Roman"/>
      <w:lang w:val="en-US" w:eastAsia="en-US"/>
    </w:rPr>
  </w:style>
  <w:style w:type="paragraph" w:styleId="CommentSubject">
    <w:name w:val="annotation subject"/>
    <w:basedOn w:val="CommentText"/>
    <w:next w:val="CommentText"/>
    <w:link w:val="CommentSubjectChar"/>
    <w:semiHidden/>
    <w:rsid w:val="00EE56A7"/>
    <w:rPr>
      <w:b/>
      <w:bCs/>
    </w:rPr>
  </w:style>
  <w:style w:type="character" w:customStyle="1" w:styleId="CommentSubjectChar">
    <w:name w:val="Comment Subject Char"/>
    <w:basedOn w:val="CommentTextChar"/>
    <w:link w:val="CommentSubject"/>
    <w:semiHidden/>
    <w:rsid w:val="00EE56A7"/>
    <w:rPr>
      <w:rFonts w:ascii="Times New Roman" w:eastAsia="Times New Roman" w:hAnsi="Times New Roman"/>
      <w:b/>
      <w:bCs/>
      <w:lang w:val="en-US" w:eastAsia="en-US"/>
    </w:rPr>
  </w:style>
  <w:style w:type="character" w:styleId="PageNumber">
    <w:name w:val="page number"/>
    <w:rsid w:val="00EE56A7"/>
    <w:rPr>
      <w:rFonts w:cs="Times New Roman"/>
    </w:rPr>
  </w:style>
  <w:style w:type="paragraph" w:styleId="FootnoteText">
    <w:name w:val="footnote text"/>
    <w:basedOn w:val="Normal"/>
    <w:link w:val="FootnoteTextChar"/>
    <w:semiHidden/>
    <w:rsid w:val="00EE56A7"/>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EE56A7"/>
    <w:rPr>
      <w:rFonts w:ascii="Times New Roman" w:eastAsia="Times New Roman" w:hAnsi="Times New Roman"/>
      <w:lang w:val="en-US" w:eastAsia="en-US"/>
    </w:rPr>
  </w:style>
  <w:style w:type="character" w:styleId="FootnoteReference">
    <w:name w:val="footnote reference"/>
    <w:semiHidden/>
    <w:rsid w:val="00EE56A7"/>
    <w:rPr>
      <w:rFonts w:cs="Times New Roman"/>
      <w:vertAlign w:val="superscript"/>
    </w:rPr>
  </w:style>
  <w:style w:type="paragraph" w:customStyle="1" w:styleId="MRLMA1">
    <w:name w:val="M&amp;R LMA 1"/>
    <w:basedOn w:val="Normal"/>
    <w:rsid w:val="00EE56A7"/>
    <w:pPr>
      <w:numPr>
        <w:numId w:val="6"/>
      </w:numPr>
      <w:spacing w:before="240" w:after="0" w:line="360" w:lineRule="auto"/>
      <w:jc w:val="both"/>
    </w:pPr>
    <w:rPr>
      <w:rFonts w:ascii="Arial" w:eastAsia="Times New Roman" w:hAnsi="Arial"/>
      <w:szCs w:val="20"/>
      <w:lang w:eastAsia="en-GB"/>
    </w:rPr>
  </w:style>
  <w:style w:type="paragraph" w:customStyle="1" w:styleId="MRLMA2">
    <w:name w:val="M&amp;R LMA 2"/>
    <w:basedOn w:val="Normal"/>
    <w:rsid w:val="00EE56A7"/>
    <w:pPr>
      <w:numPr>
        <w:ilvl w:val="1"/>
        <w:numId w:val="6"/>
      </w:numPr>
      <w:spacing w:before="240" w:after="0" w:line="360" w:lineRule="auto"/>
      <w:jc w:val="both"/>
    </w:pPr>
    <w:rPr>
      <w:rFonts w:ascii="Arial" w:eastAsia="Times New Roman" w:hAnsi="Arial"/>
      <w:szCs w:val="20"/>
      <w:lang w:eastAsia="en-GB"/>
    </w:rPr>
  </w:style>
  <w:style w:type="paragraph" w:customStyle="1" w:styleId="MRLMA3">
    <w:name w:val="M&amp;R LMA 3"/>
    <w:basedOn w:val="Normal"/>
    <w:rsid w:val="00EE56A7"/>
    <w:pPr>
      <w:numPr>
        <w:ilvl w:val="2"/>
        <w:numId w:val="6"/>
      </w:numPr>
      <w:spacing w:before="240" w:after="0" w:line="360" w:lineRule="auto"/>
      <w:jc w:val="both"/>
    </w:pPr>
    <w:rPr>
      <w:rFonts w:ascii="Arial" w:eastAsia="Times New Roman" w:hAnsi="Arial"/>
      <w:szCs w:val="20"/>
      <w:lang w:eastAsia="en-GB"/>
    </w:rPr>
  </w:style>
  <w:style w:type="paragraph" w:customStyle="1" w:styleId="MRLMA4">
    <w:name w:val="M&amp;R LMA 4"/>
    <w:basedOn w:val="Normal"/>
    <w:rsid w:val="00EE56A7"/>
    <w:pPr>
      <w:numPr>
        <w:ilvl w:val="3"/>
        <w:numId w:val="6"/>
      </w:numPr>
      <w:spacing w:before="240" w:after="0" w:line="360" w:lineRule="auto"/>
      <w:jc w:val="both"/>
    </w:pPr>
    <w:rPr>
      <w:rFonts w:ascii="Arial" w:eastAsia="Times New Roman" w:hAnsi="Arial"/>
      <w:szCs w:val="20"/>
      <w:lang w:eastAsia="en-GB"/>
    </w:rPr>
  </w:style>
  <w:style w:type="paragraph" w:customStyle="1" w:styleId="MRLMA5">
    <w:name w:val="M&amp;R LMA 5"/>
    <w:basedOn w:val="Normal"/>
    <w:rsid w:val="00EE56A7"/>
    <w:pPr>
      <w:numPr>
        <w:ilvl w:val="4"/>
        <w:numId w:val="6"/>
      </w:numPr>
      <w:spacing w:before="240" w:after="0" w:line="360" w:lineRule="auto"/>
      <w:jc w:val="both"/>
    </w:pPr>
    <w:rPr>
      <w:rFonts w:ascii="Arial" w:eastAsia="Times New Roman" w:hAnsi="Arial"/>
      <w:szCs w:val="20"/>
      <w:lang w:eastAsia="en-GB"/>
    </w:rPr>
  </w:style>
  <w:style w:type="paragraph" w:customStyle="1" w:styleId="MRLMA6">
    <w:name w:val="M&amp;R LMA 6"/>
    <w:basedOn w:val="Normal"/>
    <w:rsid w:val="00EE56A7"/>
    <w:pPr>
      <w:numPr>
        <w:ilvl w:val="5"/>
        <w:numId w:val="6"/>
      </w:numPr>
      <w:spacing w:before="240" w:after="0" w:line="360" w:lineRule="auto"/>
      <w:jc w:val="both"/>
    </w:pPr>
    <w:rPr>
      <w:rFonts w:ascii="Arial" w:eastAsia="Times New Roman" w:hAnsi="Arial"/>
      <w:szCs w:val="20"/>
      <w:lang w:eastAsia="en-GB"/>
    </w:rPr>
  </w:style>
  <w:style w:type="paragraph" w:customStyle="1" w:styleId="MRLMA7">
    <w:name w:val="M&amp;R LMA 7"/>
    <w:basedOn w:val="Normal"/>
    <w:rsid w:val="00EE56A7"/>
    <w:pPr>
      <w:numPr>
        <w:ilvl w:val="6"/>
        <w:numId w:val="6"/>
      </w:numPr>
      <w:spacing w:before="240" w:after="0" w:line="360" w:lineRule="auto"/>
      <w:jc w:val="both"/>
    </w:pPr>
    <w:rPr>
      <w:rFonts w:ascii="Arial" w:eastAsia="Times New Roman" w:hAnsi="Arial"/>
      <w:szCs w:val="20"/>
      <w:lang w:eastAsia="en-GB"/>
    </w:rPr>
  </w:style>
  <w:style w:type="paragraph" w:customStyle="1" w:styleId="MRLMA9">
    <w:name w:val="M&amp;R LMA 9"/>
    <w:basedOn w:val="Normal"/>
    <w:rsid w:val="00EE56A7"/>
    <w:pPr>
      <w:numPr>
        <w:ilvl w:val="8"/>
        <w:numId w:val="6"/>
      </w:numPr>
      <w:spacing w:before="240" w:after="0" w:line="360" w:lineRule="auto"/>
      <w:jc w:val="both"/>
    </w:pPr>
    <w:rPr>
      <w:rFonts w:ascii="Arial" w:eastAsia="Times New Roman" w:hAnsi="Arial"/>
      <w:szCs w:val="20"/>
      <w:lang w:eastAsia="en-GB"/>
    </w:rPr>
  </w:style>
  <w:style w:type="character" w:customStyle="1" w:styleId="searchword1">
    <w:name w:val="searchword1"/>
    <w:basedOn w:val="DefaultParagraphFont"/>
    <w:rsid w:val="00EE56A7"/>
    <w:rPr>
      <w:shd w:val="clear" w:color="auto" w:fill="FFFF00"/>
    </w:rPr>
  </w:style>
  <w:style w:type="paragraph" w:styleId="Revision">
    <w:name w:val="Revision"/>
    <w:hidden/>
    <w:uiPriority w:val="99"/>
    <w:semiHidden/>
    <w:rsid w:val="001C2060"/>
    <w:rPr>
      <w:sz w:val="22"/>
      <w:szCs w:val="22"/>
      <w:lang w:eastAsia="en-US"/>
    </w:rPr>
  </w:style>
  <w:style w:type="paragraph" w:customStyle="1" w:styleId="Level1">
    <w:name w:val="Level 1"/>
    <w:basedOn w:val="Normal"/>
    <w:rsid w:val="002F09C1"/>
    <w:pPr>
      <w:keepNext/>
      <w:numPr>
        <w:numId w:val="17"/>
      </w:numPr>
      <w:spacing w:after="260" w:line="260" w:lineRule="atLeast"/>
      <w:jc w:val="both"/>
      <w:outlineLvl w:val="0"/>
    </w:pPr>
    <w:rPr>
      <w:rFonts w:ascii="Arial" w:eastAsia="Times New Roman" w:hAnsi="Arial"/>
      <w:b/>
      <w:caps/>
      <w:sz w:val="21"/>
      <w:szCs w:val="24"/>
    </w:rPr>
  </w:style>
  <w:style w:type="paragraph" w:customStyle="1" w:styleId="Level2">
    <w:name w:val="Level 2"/>
    <w:basedOn w:val="Normal"/>
    <w:qFormat/>
    <w:rsid w:val="002F09C1"/>
    <w:pPr>
      <w:numPr>
        <w:ilvl w:val="1"/>
        <w:numId w:val="17"/>
      </w:numPr>
      <w:spacing w:after="260" w:line="260" w:lineRule="atLeast"/>
      <w:jc w:val="both"/>
      <w:outlineLvl w:val="1"/>
    </w:pPr>
    <w:rPr>
      <w:rFonts w:ascii="Arial" w:eastAsia="Times New Roman" w:hAnsi="Arial"/>
      <w:sz w:val="21"/>
      <w:szCs w:val="24"/>
    </w:rPr>
  </w:style>
  <w:style w:type="paragraph" w:customStyle="1" w:styleId="Level3">
    <w:name w:val="Level 3"/>
    <w:basedOn w:val="Normal"/>
    <w:rsid w:val="002F09C1"/>
    <w:pPr>
      <w:numPr>
        <w:ilvl w:val="2"/>
        <w:numId w:val="17"/>
      </w:numPr>
      <w:spacing w:after="260" w:line="260" w:lineRule="atLeast"/>
      <w:jc w:val="both"/>
      <w:outlineLvl w:val="2"/>
    </w:pPr>
    <w:rPr>
      <w:rFonts w:ascii="Arial" w:eastAsia="Times New Roman" w:hAnsi="Arial"/>
      <w:sz w:val="21"/>
      <w:szCs w:val="24"/>
    </w:rPr>
  </w:style>
  <w:style w:type="paragraph" w:customStyle="1" w:styleId="Level4">
    <w:name w:val="Level 4"/>
    <w:basedOn w:val="Normal"/>
    <w:rsid w:val="002F09C1"/>
    <w:pPr>
      <w:numPr>
        <w:ilvl w:val="3"/>
        <w:numId w:val="17"/>
      </w:numPr>
      <w:spacing w:after="260" w:line="260" w:lineRule="atLeast"/>
      <w:jc w:val="both"/>
      <w:outlineLvl w:val="3"/>
    </w:pPr>
    <w:rPr>
      <w:rFonts w:ascii="Arial" w:eastAsia="Times New Roman" w:hAnsi="Arial"/>
      <w:sz w:val="21"/>
      <w:szCs w:val="24"/>
    </w:rPr>
  </w:style>
  <w:style w:type="paragraph" w:customStyle="1" w:styleId="Level5">
    <w:name w:val="Level 5"/>
    <w:basedOn w:val="Normal"/>
    <w:rsid w:val="002F09C1"/>
    <w:pPr>
      <w:numPr>
        <w:ilvl w:val="4"/>
        <w:numId w:val="17"/>
      </w:numPr>
      <w:spacing w:after="260" w:line="260" w:lineRule="atLeast"/>
      <w:jc w:val="both"/>
      <w:outlineLvl w:val="4"/>
    </w:pPr>
    <w:rPr>
      <w:rFonts w:ascii="Arial" w:eastAsia="Times New Roman" w:hAnsi="Arial"/>
      <w:sz w:val="21"/>
      <w:szCs w:val="24"/>
    </w:rPr>
  </w:style>
  <w:style w:type="paragraph" w:customStyle="1" w:styleId="Level6">
    <w:name w:val="Level 6"/>
    <w:basedOn w:val="Normal"/>
    <w:rsid w:val="002F09C1"/>
    <w:pPr>
      <w:numPr>
        <w:ilvl w:val="5"/>
        <w:numId w:val="17"/>
      </w:numPr>
      <w:spacing w:after="260" w:line="260" w:lineRule="atLeast"/>
      <w:jc w:val="both"/>
      <w:outlineLvl w:val="5"/>
    </w:pPr>
    <w:rPr>
      <w:rFonts w:ascii="Arial" w:eastAsia="Times New Roman" w:hAnsi="Arial"/>
      <w:sz w:val="21"/>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2F09C1"/>
    <w:rPr>
      <w:rFonts w:eastAsiaTheme="minorHAnsi"/>
      <w:sz w:val="22"/>
      <w:szCs w:val="22"/>
    </w:rPr>
  </w:style>
  <w:style w:type="character" w:customStyle="1" w:styleId="Normal15linespacingChar">
    <w:name w:val="Normal + 1.5 line spacing Char"/>
    <w:link w:val="Normal15linespacing"/>
    <w:locked/>
    <w:rsid w:val="002F09C1"/>
    <w:rPr>
      <w:rFonts w:ascii="Arial" w:hAnsi="Arial" w:cs="Arial"/>
      <w:szCs w:val="24"/>
      <w:lang w:eastAsia="en-US"/>
    </w:rPr>
  </w:style>
  <w:style w:type="paragraph" w:customStyle="1" w:styleId="Normal15linespacing">
    <w:name w:val="Normal + 1.5 line spacing"/>
    <w:basedOn w:val="Normal"/>
    <w:link w:val="Normal15linespacingChar"/>
    <w:rsid w:val="002F09C1"/>
    <w:pPr>
      <w:spacing w:after="0" w:line="360" w:lineRule="auto"/>
    </w:pPr>
    <w:rPr>
      <w:rFonts w:ascii="Arial" w:hAnsi="Arial" w:cs="Arial"/>
      <w:sz w:val="20"/>
      <w:szCs w:val="24"/>
    </w:rPr>
  </w:style>
  <w:style w:type="paragraph" w:customStyle="1" w:styleId="GPSL1CLAUSEHEADING">
    <w:name w:val="GPS L1 CLAUSE HEADING"/>
    <w:basedOn w:val="Normal"/>
    <w:next w:val="Normal"/>
    <w:qFormat/>
    <w:rsid w:val="00504C8C"/>
    <w:pPr>
      <w:numPr>
        <w:numId w:val="26"/>
      </w:numPr>
      <w:tabs>
        <w:tab w:val="left" w:pos="567"/>
      </w:tabs>
      <w:adjustRightInd w:val="0"/>
      <w:spacing w:before="240" w:after="240" w:line="240" w:lineRule="auto"/>
      <w:jc w:val="both"/>
      <w:outlineLvl w:val="1"/>
    </w:pPr>
    <w:rPr>
      <w:rFonts w:eastAsia="STZhongsong" w:cs="Arial"/>
      <w:b/>
      <w:caps/>
      <w:lang w:eastAsia="zh-CN"/>
    </w:rPr>
  </w:style>
  <w:style w:type="paragraph" w:customStyle="1" w:styleId="GPSL2numberedclause">
    <w:name w:val="GPS L2 numbered clause"/>
    <w:basedOn w:val="Normal"/>
    <w:link w:val="GPSL2numberedclauseChar1"/>
    <w:qFormat/>
    <w:rsid w:val="00504C8C"/>
    <w:pPr>
      <w:numPr>
        <w:ilvl w:val="1"/>
        <w:numId w:val="2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qFormat/>
    <w:rsid w:val="00504C8C"/>
    <w:pPr>
      <w:numPr>
        <w:ilvl w:val="2"/>
      </w:numPr>
      <w:tabs>
        <w:tab w:val="num" w:pos="1800"/>
        <w:tab w:val="left" w:pos="2127"/>
      </w:tabs>
      <w:ind w:left="2160" w:firstLine="1980"/>
    </w:pPr>
  </w:style>
  <w:style w:type="paragraph" w:customStyle="1" w:styleId="GPSL4numberedclause">
    <w:name w:val="GPS L4 numbered clause"/>
    <w:basedOn w:val="GPSL3numberedclause"/>
    <w:qFormat/>
    <w:rsid w:val="00504C8C"/>
    <w:pPr>
      <w:numPr>
        <w:ilvl w:val="3"/>
      </w:numPr>
      <w:tabs>
        <w:tab w:val="clear" w:pos="1134"/>
        <w:tab w:val="num" w:pos="2520"/>
        <w:tab w:val="left" w:pos="2694"/>
      </w:tabs>
      <w:ind w:left="2880" w:firstLine="2520"/>
    </w:pPr>
    <w:rPr>
      <w:szCs w:val="20"/>
    </w:rPr>
  </w:style>
  <w:style w:type="character" w:customStyle="1" w:styleId="GPSL2numberedclauseChar1">
    <w:name w:val="GPS L2 numbered clause Char1"/>
    <w:link w:val="GPSL2numberedclause"/>
    <w:rsid w:val="00504C8C"/>
    <w:rPr>
      <w:rFonts w:eastAsia="Times New Roman" w:cs="Arial"/>
      <w:sz w:val="22"/>
      <w:szCs w:val="22"/>
      <w:lang w:eastAsia="zh-CN"/>
    </w:rPr>
  </w:style>
  <w:style w:type="paragraph" w:customStyle="1" w:styleId="GPSL5numberedclause">
    <w:name w:val="GPS L5 numbered clause"/>
    <w:basedOn w:val="GPSL4numberedclause"/>
    <w:qFormat/>
    <w:rsid w:val="00504C8C"/>
    <w:pPr>
      <w:numPr>
        <w:ilvl w:val="4"/>
      </w:numPr>
      <w:tabs>
        <w:tab w:val="clear" w:pos="2694"/>
        <w:tab w:val="left" w:pos="3119"/>
        <w:tab w:val="num" w:pos="3240"/>
      </w:tabs>
      <w:ind w:left="3240" w:hanging="720"/>
    </w:pPr>
  </w:style>
  <w:style w:type="paragraph" w:customStyle="1" w:styleId="GPSL6numbered">
    <w:name w:val="GPS L6 numbered"/>
    <w:basedOn w:val="GPSL5numberedclause"/>
    <w:qFormat/>
    <w:rsid w:val="00504C8C"/>
    <w:pPr>
      <w:numPr>
        <w:ilvl w:val="5"/>
      </w:numPr>
      <w:tabs>
        <w:tab w:val="clear" w:pos="3119"/>
        <w:tab w:val="left" w:pos="3544"/>
        <w:tab w:val="num" w:pos="3960"/>
      </w:tabs>
      <w:ind w:left="4320" w:firstLine="4140"/>
    </w:pPr>
  </w:style>
  <w:style w:type="character" w:customStyle="1" w:styleId="Heading3Char">
    <w:name w:val="Heading 3 Char"/>
    <w:basedOn w:val="DefaultParagraphFont"/>
    <w:link w:val="Heading3"/>
    <w:rsid w:val="006401E7"/>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rsid w:val="006401E7"/>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6401E7"/>
    <w:rPr>
      <w:rFonts w:ascii="Times New Roman" w:eastAsia="STZhongsong" w:hAnsi="Times New Roman"/>
      <w:sz w:val="22"/>
      <w:lang w:eastAsia="zh-CN"/>
    </w:rPr>
  </w:style>
  <w:style w:type="character" w:customStyle="1" w:styleId="Heading6Char">
    <w:name w:val="Heading 6 Char"/>
    <w:basedOn w:val="DefaultParagraphFont"/>
    <w:link w:val="Heading6"/>
    <w:rsid w:val="006401E7"/>
    <w:rPr>
      <w:rFonts w:ascii="Times New Roman" w:eastAsia="STZhongsong" w:hAnsi="Times New Roman"/>
      <w:sz w:val="22"/>
      <w:lang w:eastAsia="zh-CN"/>
    </w:rPr>
  </w:style>
  <w:style w:type="character" w:customStyle="1" w:styleId="Heading7Char">
    <w:name w:val="Heading 7 Char"/>
    <w:basedOn w:val="DefaultParagraphFont"/>
    <w:link w:val="Heading7"/>
    <w:rsid w:val="006401E7"/>
    <w:rPr>
      <w:rFonts w:ascii="Times New Roman" w:eastAsia="STZhongsong" w:hAnsi="Times New Roman"/>
      <w:sz w:val="22"/>
      <w:lang w:eastAsia="zh-CN"/>
    </w:rPr>
  </w:style>
  <w:style w:type="character" w:customStyle="1" w:styleId="Heading8Char">
    <w:name w:val="Heading 8 Char"/>
    <w:basedOn w:val="DefaultParagraphFont"/>
    <w:link w:val="Heading8"/>
    <w:rsid w:val="006401E7"/>
    <w:rPr>
      <w:rFonts w:ascii="Times New Roman" w:eastAsia="STZhongsong" w:hAnsi="Times New Roman"/>
      <w:sz w:val="22"/>
      <w:lang w:eastAsia="zh-CN"/>
    </w:rPr>
  </w:style>
  <w:style w:type="character" w:customStyle="1" w:styleId="Heading9Char">
    <w:name w:val="Heading 9 Char"/>
    <w:basedOn w:val="DefaultParagraphFont"/>
    <w:link w:val="Heading9"/>
    <w:rsid w:val="006401E7"/>
    <w:rPr>
      <w:rFonts w:ascii="Times New Roman" w:eastAsia="STZhongsong" w:hAnsi="Times New Roman"/>
      <w:sz w:val="22"/>
      <w:lang w:eastAsia="zh-CN"/>
    </w:rPr>
  </w:style>
  <w:style w:type="paragraph" w:customStyle="1" w:styleId="ScheduleL1">
    <w:name w:val="Schedule L1"/>
    <w:basedOn w:val="Normal"/>
    <w:qFormat/>
    <w:rsid w:val="006401E7"/>
    <w:pPr>
      <w:numPr>
        <w:numId w:val="49"/>
      </w:numPr>
      <w:adjustRightInd w:val="0"/>
      <w:spacing w:after="240" w:line="240" w:lineRule="auto"/>
      <w:jc w:val="both"/>
      <w:outlineLvl w:val="0"/>
    </w:pPr>
    <w:rPr>
      <w:rFonts w:ascii="Times New Roman" w:eastAsia="STZhongsong" w:hAnsi="Times New Roman"/>
      <w:szCs w:val="20"/>
      <w:lang w:eastAsia="zh-CN"/>
    </w:rPr>
  </w:style>
  <w:style w:type="paragraph" w:customStyle="1" w:styleId="ScheduleL2">
    <w:name w:val="Schedule L2"/>
    <w:basedOn w:val="Normal"/>
    <w:qFormat/>
    <w:rsid w:val="006401E7"/>
    <w:pPr>
      <w:numPr>
        <w:ilvl w:val="1"/>
        <w:numId w:val="49"/>
      </w:numPr>
      <w:adjustRightInd w:val="0"/>
      <w:spacing w:after="240" w:line="240" w:lineRule="auto"/>
      <w:jc w:val="both"/>
      <w:outlineLvl w:val="1"/>
    </w:pPr>
    <w:rPr>
      <w:rFonts w:ascii="Times New Roman" w:eastAsia="STZhongsong" w:hAnsi="Times New Roman"/>
      <w:szCs w:val="20"/>
      <w:lang w:eastAsia="zh-CN"/>
    </w:rPr>
  </w:style>
  <w:style w:type="paragraph" w:customStyle="1" w:styleId="ScheduleL3">
    <w:name w:val="Schedule L3"/>
    <w:basedOn w:val="Normal"/>
    <w:qFormat/>
    <w:rsid w:val="006401E7"/>
    <w:pPr>
      <w:numPr>
        <w:ilvl w:val="2"/>
        <w:numId w:val="49"/>
      </w:numPr>
      <w:adjustRightInd w:val="0"/>
      <w:spacing w:after="240" w:line="240" w:lineRule="auto"/>
      <w:jc w:val="both"/>
      <w:outlineLvl w:val="2"/>
    </w:pPr>
    <w:rPr>
      <w:rFonts w:ascii="Times New Roman" w:eastAsia="STZhongsong" w:hAnsi="Times New Roman"/>
      <w:szCs w:val="20"/>
      <w:lang w:eastAsia="zh-CN"/>
    </w:rPr>
  </w:style>
  <w:style w:type="paragraph" w:customStyle="1" w:styleId="ScheduleL4">
    <w:name w:val="Schedule L4"/>
    <w:basedOn w:val="Normal"/>
    <w:qFormat/>
    <w:rsid w:val="006401E7"/>
    <w:pPr>
      <w:numPr>
        <w:ilvl w:val="3"/>
        <w:numId w:val="49"/>
      </w:numPr>
      <w:adjustRightInd w:val="0"/>
      <w:spacing w:after="240" w:line="240" w:lineRule="auto"/>
      <w:jc w:val="both"/>
      <w:outlineLvl w:val="3"/>
    </w:pPr>
    <w:rPr>
      <w:rFonts w:ascii="Times New Roman" w:eastAsia="STZhongsong" w:hAnsi="Times New Roman"/>
      <w:szCs w:val="20"/>
      <w:lang w:eastAsia="zh-CN"/>
    </w:rPr>
  </w:style>
  <w:style w:type="paragraph" w:customStyle="1" w:styleId="ScheduleL5">
    <w:name w:val="Schedule L5"/>
    <w:basedOn w:val="Normal"/>
    <w:qFormat/>
    <w:rsid w:val="006401E7"/>
    <w:pPr>
      <w:numPr>
        <w:ilvl w:val="4"/>
        <w:numId w:val="49"/>
      </w:numPr>
      <w:adjustRightInd w:val="0"/>
      <w:spacing w:after="240" w:line="240" w:lineRule="auto"/>
      <w:jc w:val="both"/>
      <w:outlineLvl w:val="4"/>
    </w:pPr>
    <w:rPr>
      <w:rFonts w:ascii="Times New Roman" w:eastAsia="STZhongsong" w:hAnsi="Times New Roman"/>
      <w:szCs w:val="20"/>
      <w:lang w:eastAsia="zh-CN"/>
    </w:rPr>
  </w:style>
  <w:style w:type="paragraph" w:customStyle="1" w:styleId="ScheduleL6">
    <w:name w:val="Schedule L6"/>
    <w:basedOn w:val="Normal"/>
    <w:qFormat/>
    <w:rsid w:val="006401E7"/>
    <w:pPr>
      <w:numPr>
        <w:ilvl w:val="5"/>
        <w:numId w:val="49"/>
      </w:numPr>
      <w:adjustRightInd w:val="0"/>
      <w:spacing w:after="240" w:line="240" w:lineRule="auto"/>
      <w:jc w:val="both"/>
      <w:outlineLvl w:val="5"/>
    </w:pPr>
    <w:rPr>
      <w:rFonts w:ascii="Times New Roman" w:eastAsia="STZhongsong" w:hAnsi="Times New Roman"/>
      <w:szCs w:val="20"/>
      <w:lang w:eastAsia="zh-CN"/>
    </w:rPr>
  </w:style>
  <w:style w:type="paragraph" w:customStyle="1" w:styleId="ScheduleL7">
    <w:name w:val="Schedule L7"/>
    <w:basedOn w:val="Normal"/>
    <w:qFormat/>
    <w:rsid w:val="006401E7"/>
    <w:pPr>
      <w:numPr>
        <w:ilvl w:val="6"/>
        <w:numId w:val="49"/>
      </w:numPr>
      <w:adjustRightInd w:val="0"/>
      <w:spacing w:after="240" w:line="240" w:lineRule="auto"/>
      <w:jc w:val="both"/>
      <w:outlineLvl w:val="6"/>
    </w:pPr>
    <w:rPr>
      <w:rFonts w:ascii="Times New Roman" w:eastAsia="STZhongsong" w:hAnsi="Times New Roman"/>
      <w:szCs w:val="20"/>
      <w:lang w:eastAsia="zh-CN"/>
    </w:rPr>
  </w:style>
  <w:style w:type="paragraph" w:customStyle="1" w:styleId="ScheduleL8">
    <w:name w:val="Schedule L8"/>
    <w:basedOn w:val="Normal"/>
    <w:qFormat/>
    <w:rsid w:val="006401E7"/>
    <w:pPr>
      <w:numPr>
        <w:ilvl w:val="7"/>
        <w:numId w:val="49"/>
      </w:numPr>
      <w:adjustRightInd w:val="0"/>
      <w:spacing w:after="240" w:line="240" w:lineRule="auto"/>
      <w:jc w:val="both"/>
      <w:outlineLvl w:val="7"/>
    </w:pPr>
    <w:rPr>
      <w:rFonts w:ascii="Times New Roman" w:eastAsia="STZhongsong" w:hAnsi="Times New Roman"/>
      <w:szCs w:val="20"/>
      <w:lang w:eastAsia="zh-CN"/>
    </w:rPr>
  </w:style>
  <w:style w:type="paragraph" w:customStyle="1" w:styleId="ScheduleL9">
    <w:name w:val="Schedule L9"/>
    <w:basedOn w:val="Normal"/>
    <w:qFormat/>
    <w:rsid w:val="006401E7"/>
    <w:pPr>
      <w:numPr>
        <w:ilvl w:val="8"/>
        <w:numId w:val="49"/>
      </w:numPr>
      <w:adjustRightInd w:val="0"/>
      <w:spacing w:after="240" w:line="240" w:lineRule="auto"/>
      <w:jc w:val="both"/>
      <w:outlineLvl w:val="8"/>
    </w:pPr>
    <w:rPr>
      <w:rFonts w:ascii="Times New Roman" w:eastAsia="STZhongsong" w:hAnsi="Times New Roman"/>
      <w:szCs w:val="20"/>
      <w:lang w:eastAsia="zh-CN"/>
    </w:rPr>
  </w:style>
  <w:style w:type="paragraph" w:styleId="BodyTextIndent">
    <w:name w:val="Body Text Indent"/>
    <w:basedOn w:val="Normal"/>
    <w:link w:val="BodyTextIndentChar"/>
    <w:qFormat/>
    <w:rsid w:val="005437EF"/>
    <w:pPr>
      <w:numPr>
        <w:numId w:val="59"/>
      </w:numPr>
      <w:adjustRightInd w:val="0"/>
      <w:spacing w:after="240" w:line="240" w:lineRule="auto"/>
      <w:jc w:val="both"/>
    </w:pPr>
    <w:rPr>
      <w:rFonts w:ascii="Times New Roman" w:eastAsia="STZhongsong" w:hAnsi="Times New Roman"/>
      <w:szCs w:val="20"/>
      <w:lang w:eastAsia="zh-CN"/>
    </w:rPr>
  </w:style>
  <w:style w:type="character" w:customStyle="1" w:styleId="BodyTextIndentChar">
    <w:name w:val="Body Text Indent Char"/>
    <w:basedOn w:val="DefaultParagraphFont"/>
    <w:link w:val="BodyTextIndent"/>
    <w:rsid w:val="005437EF"/>
    <w:rPr>
      <w:rFonts w:ascii="Times New Roman" w:eastAsia="STZhongsong" w:hAnsi="Times New Roman"/>
      <w:sz w:val="22"/>
      <w:lang w:eastAsia="zh-CN"/>
    </w:rPr>
  </w:style>
  <w:style w:type="paragraph" w:styleId="BodyTextIndent2">
    <w:name w:val="Body Text Indent 2"/>
    <w:basedOn w:val="Normal"/>
    <w:link w:val="BodyTextIndent2Char"/>
    <w:qFormat/>
    <w:rsid w:val="005437EF"/>
    <w:pPr>
      <w:numPr>
        <w:ilvl w:val="1"/>
        <w:numId w:val="59"/>
      </w:numPr>
      <w:adjustRightInd w:val="0"/>
      <w:spacing w:after="240" w:line="240" w:lineRule="auto"/>
      <w:jc w:val="both"/>
    </w:pPr>
    <w:rPr>
      <w:rFonts w:ascii="Times New Roman" w:eastAsia="STZhongsong" w:hAnsi="Times New Roman"/>
      <w:szCs w:val="20"/>
      <w:lang w:eastAsia="zh-CN"/>
    </w:rPr>
  </w:style>
  <w:style w:type="character" w:customStyle="1" w:styleId="BodyTextIndent2Char">
    <w:name w:val="Body Text Indent 2 Char"/>
    <w:basedOn w:val="DefaultParagraphFont"/>
    <w:link w:val="BodyTextIndent2"/>
    <w:rsid w:val="005437EF"/>
    <w:rPr>
      <w:rFonts w:ascii="Times New Roman" w:eastAsia="STZhongsong" w:hAnsi="Times New Roman"/>
      <w:sz w:val="22"/>
      <w:lang w:eastAsia="zh-CN"/>
    </w:rPr>
  </w:style>
  <w:style w:type="paragraph" w:customStyle="1" w:styleId="DefinitionNumbering1">
    <w:name w:val="Definition Numbering 1"/>
    <w:basedOn w:val="Normal"/>
    <w:qFormat/>
    <w:rsid w:val="005437EF"/>
    <w:pPr>
      <w:numPr>
        <w:ilvl w:val="2"/>
        <w:numId w:val="59"/>
      </w:numPr>
      <w:adjustRightInd w:val="0"/>
      <w:spacing w:after="240" w:line="240" w:lineRule="auto"/>
      <w:jc w:val="both"/>
      <w:outlineLvl w:val="0"/>
    </w:pPr>
    <w:rPr>
      <w:rFonts w:ascii="Times New Roman" w:eastAsia="STZhongsong" w:hAnsi="Times New Roman"/>
      <w:szCs w:val="20"/>
      <w:lang w:eastAsia="zh-CN"/>
    </w:rPr>
  </w:style>
  <w:style w:type="paragraph" w:customStyle="1" w:styleId="DefinitionNumbering2">
    <w:name w:val="Definition Numbering 2"/>
    <w:basedOn w:val="Normal"/>
    <w:qFormat/>
    <w:rsid w:val="005437EF"/>
    <w:pPr>
      <w:numPr>
        <w:ilvl w:val="3"/>
        <w:numId w:val="59"/>
      </w:numPr>
      <w:adjustRightInd w:val="0"/>
      <w:spacing w:after="240" w:line="240" w:lineRule="auto"/>
      <w:jc w:val="both"/>
      <w:outlineLvl w:val="1"/>
    </w:pPr>
    <w:rPr>
      <w:rFonts w:ascii="Times New Roman" w:eastAsia="STZhongsong" w:hAnsi="Times New Roman"/>
      <w:szCs w:val="20"/>
      <w:lang w:eastAsia="zh-CN"/>
    </w:rPr>
  </w:style>
  <w:style w:type="paragraph" w:customStyle="1" w:styleId="DefinitionNumbering3">
    <w:name w:val="Definition Numbering 3"/>
    <w:basedOn w:val="Normal"/>
    <w:qFormat/>
    <w:rsid w:val="005437EF"/>
    <w:pPr>
      <w:numPr>
        <w:ilvl w:val="4"/>
        <w:numId w:val="59"/>
      </w:numPr>
      <w:adjustRightInd w:val="0"/>
      <w:spacing w:after="240" w:line="240" w:lineRule="auto"/>
      <w:jc w:val="both"/>
      <w:outlineLvl w:val="2"/>
    </w:pPr>
    <w:rPr>
      <w:rFonts w:ascii="Times New Roman" w:eastAsia="STZhongsong" w:hAnsi="Times New Roman"/>
      <w:szCs w:val="20"/>
      <w:lang w:eastAsia="zh-CN"/>
    </w:rPr>
  </w:style>
  <w:style w:type="paragraph" w:customStyle="1" w:styleId="DefinitionNumbering4">
    <w:name w:val="Definition Numbering 4"/>
    <w:basedOn w:val="Normal"/>
    <w:rsid w:val="005437EF"/>
    <w:pPr>
      <w:numPr>
        <w:ilvl w:val="5"/>
        <w:numId w:val="59"/>
      </w:numPr>
      <w:adjustRightInd w:val="0"/>
      <w:spacing w:after="240" w:line="240" w:lineRule="auto"/>
      <w:jc w:val="both"/>
      <w:outlineLvl w:val="3"/>
    </w:pPr>
    <w:rPr>
      <w:rFonts w:ascii="Times New Roman" w:eastAsia="STZhongsong" w:hAnsi="Times New Roman"/>
      <w:szCs w:val="20"/>
      <w:lang w:eastAsia="zh-CN"/>
    </w:rPr>
  </w:style>
  <w:style w:type="paragraph" w:customStyle="1" w:styleId="DefinitionNumbering5">
    <w:name w:val="Definition Numbering 5"/>
    <w:basedOn w:val="Normal"/>
    <w:rsid w:val="005437EF"/>
    <w:pPr>
      <w:numPr>
        <w:ilvl w:val="6"/>
        <w:numId w:val="59"/>
      </w:numPr>
      <w:adjustRightInd w:val="0"/>
      <w:spacing w:after="240" w:line="240" w:lineRule="auto"/>
      <w:jc w:val="both"/>
      <w:outlineLvl w:val="4"/>
    </w:pPr>
    <w:rPr>
      <w:rFonts w:ascii="Times New Roman" w:eastAsia="STZhongsong" w:hAnsi="Times New Roman"/>
      <w:szCs w:val="20"/>
      <w:lang w:eastAsia="zh-CN"/>
    </w:rPr>
  </w:style>
  <w:style w:type="paragraph" w:customStyle="1" w:styleId="DefinitionNumbering6">
    <w:name w:val="Definition Numbering 6"/>
    <w:basedOn w:val="Normal"/>
    <w:rsid w:val="005437EF"/>
    <w:pPr>
      <w:numPr>
        <w:ilvl w:val="7"/>
        <w:numId w:val="59"/>
      </w:numPr>
      <w:adjustRightInd w:val="0"/>
      <w:spacing w:after="240" w:line="240" w:lineRule="auto"/>
      <w:jc w:val="both"/>
      <w:outlineLvl w:val="5"/>
    </w:pPr>
    <w:rPr>
      <w:rFonts w:ascii="Times New Roman" w:eastAsia="STZhongsong" w:hAnsi="Times New Roman"/>
      <w:szCs w:val="20"/>
      <w:lang w:eastAsia="zh-CN"/>
    </w:rPr>
  </w:style>
  <w:style w:type="paragraph" w:customStyle="1" w:styleId="DefinitionNumbering7">
    <w:name w:val="Definition Numbering 7"/>
    <w:basedOn w:val="Normal"/>
    <w:rsid w:val="005437EF"/>
    <w:pPr>
      <w:numPr>
        <w:ilvl w:val="8"/>
        <w:numId w:val="59"/>
      </w:numPr>
      <w:adjustRightInd w:val="0"/>
      <w:spacing w:after="240" w:line="240" w:lineRule="auto"/>
      <w:jc w:val="both"/>
      <w:outlineLvl w:val="6"/>
    </w:pPr>
    <w:rPr>
      <w:rFonts w:ascii="Times New Roman" w:eastAsia="STZhongsong" w:hAnsi="Times New Roman"/>
      <w:szCs w:val="20"/>
      <w:lang w:eastAsia="zh-CN"/>
    </w:rPr>
  </w:style>
  <w:style w:type="paragraph" w:styleId="ListNumber4">
    <w:name w:val="List Number 4"/>
    <w:basedOn w:val="Normal"/>
    <w:rsid w:val="005437EF"/>
    <w:pPr>
      <w:numPr>
        <w:numId w:val="58"/>
      </w:numPr>
      <w:spacing w:after="0" w:line="240" w:lineRule="auto"/>
      <w:contextualSpacing/>
    </w:pPr>
    <w:rPr>
      <w:rFonts w:ascii="Times New Roman" w:eastAsia="SimSun" w:hAnsi="Times New Roman"/>
      <w:szCs w:val="24"/>
      <w:lang w:eastAsia="zh-CN"/>
    </w:rPr>
  </w:style>
  <w:style w:type="paragraph" w:customStyle="1" w:styleId="ColorfulList-Accent12">
    <w:name w:val="Colorful List - Accent 12"/>
    <w:basedOn w:val="Normal"/>
    <w:uiPriority w:val="34"/>
    <w:qFormat/>
    <w:rsid w:val="00DA5ABE"/>
    <w:pPr>
      <w:spacing w:before="20" w:after="20" w:line="240" w:lineRule="auto"/>
      <w:ind w:left="720"/>
      <w:contextualSpacing/>
    </w:pPr>
    <w:rPr>
      <w:rFonts w:ascii="Arial" w:eastAsia="Arial" w:hAnsi="Arial" w:cs="Arial"/>
      <w:color w:val="000000"/>
      <w:sz w:val="24"/>
      <w:szCs w:val="24"/>
      <w:lang w:eastAsia="en-GB"/>
    </w:rPr>
  </w:style>
  <w:style w:type="paragraph" w:customStyle="1" w:styleId="Paragraph11">
    <w:name w:val="Paragraph 1.1"/>
    <w:basedOn w:val="Normal"/>
    <w:rsid w:val="00DA5ABE"/>
    <w:pPr>
      <w:widowControl w:val="0"/>
      <w:autoSpaceDE w:val="0"/>
      <w:autoSpaceDN w:val="0"/>
      <w:adjustRightInd w:val="0"/>
      <w:spacing w:after="240" w:line="300" w:lineRule="auto"/>
      <w:jc w:val="both"/>
      <w:outlineLvl w:val="1"/>
    </w:pPr>
    <w:rPr>
      <w:rFonts w:ascii="Arial" w:eastAsia="Times New Roman" w:hAnsi="Arial" w:cs="Arial"/>
      <w:color w:val="000000"/>
      <w:sz w:val="20"/>
      <w:szCs w:val="20"/>
      <w:lang w:eastAsia="en-GB"/>
    </w:rPr>
  </w:style>
  <w:style w:type="character" w:customStyle="1" w:styleId="UnresolvedMention1">
    <w:name w:val="Unresolved Mention1"/>
    <w:basedOn w:val="DefaultParagraphFont"/>
    <w:uiPriority w:val="99"/>
    <w:unhideWhenUsed/>
    <w:rsid w:val="00847665"/>
    <w:rPr>
      <w:color w:val="605E5C"/>
      <w:shd w:val="clear" w:color="auto" w:fill="E1DFDD"/>
    </w:rPr>
  </w:style>
  <w:style w:type="character" w:customStyle="1" w:styleId="Mention1">
    <w:name w:val="Mention1"/>
    <w:basedOn w:val="DefaultParagraphFont"/>
    <w:uiPriority w:val="99"/>
    <w:unhideWhenUsed/>
    <w:rsid w:val="00847665"/>
    <w:rPr>
      <w:color w:val="2B579A"/>
      <w:shd w:val="clear" w:color="auto" w:fill="E1DFDD"/>
    </w:rPr>
  </w:style>
  <w:style w:type="paragraph" w:customStyle="1" w:styleId="Default">
    <w:name w:val="Default"/>
    <w:rsid w:val="00D258CE"/>
    <w:pPr>
      <w:autoSpaceDE w:val="0"/>
      <w:autoSpaceDN w:val="0"/>
      <w:adjustRightInd w:val="0"/>
    </w:pPr>
    <w:rPr>
      <w:rFonts w:cs="Calibri"/>
      <w:color w:val="000000"/>
      <w:sz w:val="24"/>
      <w:szCs w:val="24"/>
      <w:lang w:val="en-US"/>
    </w:rPr>
  </w:style>
  <w:style w:type="paragraph" w:customStyle="1" w:styleId="Level7">
    <w:name w:val="Level 7"/>
    <w:basedOn w:val="Normal"/>
    <w:rsid w:val="00EA4FBE"/>
    <w:pPr>
      <w:tabs>
        <w:tab w:val="num" w:pos="3402"/>
      </w:tabs>
      <w:spacing w:after="140" w:line="290" w:lineRule="auto"/>
      <w:ind w:left="3402" w:hanging="680"/>
      <w:jc w:val="both"/>
      <w:outlineLvl w:val="6"/>
    </w:pPr>
    <w:rPr>
      <w:rFonts w:ascii="Arial" w:eastAsiaTheme="minorHAnsi" w:hAnsi="Arial"/>
      <w:kern w:val="20"/>
      <w:sz w:val="20"/>
    </w:rPr>
  </w:style>
  <w:style w:type="paragraph" w:customStyle="1" w:styleId="Level8">
    <w:name w:val="Level 8"/>
    <w:basedOn w:val="Normal"/>
    <w:rsid w:val="00EA4FBE"/>
    <w:pPr>
      <w:tabs>
        <w:tab w:val="num" w:pos="3402"/>
      </w:tabs>
      <w:spacing w:after="140" w:line="290" w:lineRule="auto"/>
      <w:ind w:left="3402" w:hanging="680"/>
      <w:jc w:val="both"/>
      <w:outlineLvl w:val="7"/>
    </w:pPr>
    <w:rPr>
      <w:rFonts w:ascii="Arial" w:eastAsiaTheme="minorHAnsi" w:hAnsi="Arial"/>
      <w:kern w:val="20"/>
      <w:sz w:val="20"/>
    </w:rPr>
  </w:style>
  <w:style w:type="paragraph" w:customStyle="1" w:styleId="Level9">
    <w:name w:val="Level 9"/>
    <w:basedOn w:val="Normal"/>
    <w:rsid w:val="00EA4FBE"/>
    <w:pPr>
      <w:tabs>
        <w:tab w:val="num" w:pos="3402"/>
      </w:tabs>
      <w:spacing w:after="140" w:line="290" w:lineRule="auto"/>
      <w:ind w:left="3402" w:hanging="680"/>
      <w:jc w:val="both"/>
      <w:outlineLvl w:val="8"/>
    </w:pPr>
    <w:rPr>
      <w:rFonts w:ascii="Arial" w:eastAsiaTheme="minorHAnsi" w:hAnsi="Arial"/>
      <w:kern w:val="20"/>
      <w:sz w:val="20"/>
    </w:rPr>
  </w:style>
  <w:style w:type="paragraph" w:customStyle="1" w:styleId="Body2">
    <w:name w:val="Body 2"/>
    <w:basedOn w:val="Normal"/>
    <w:rsid w:val="009A3233"/>
    <w:pPr>
      <w:spacing w:after="140" w:line="290" w:lineRule="auto"/>
      <w:ind w:left="680"/>
      <w:jc w:val="both"/>
    </w:pPr>
    <w:rPr>
      <w:rFonts w:ascii="Arial" w:eastAsiaTheme="minorHAnsi" w:hAnsi="Arial"/>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8534">
      <w:bodyDiv w:val="1"/>
      <w:marLeft w:val="0"/>
      <w:marRight w:val="0"/>
      <w:marTop w:val="0"/>
      <w:marBottom w:val="0"/>
      <w:divBdr>
        <w:top w:val="none" w:sz="0" w:space="0" w:color="auto"/>
        <w:left w:val="none" w:sz="0" w:space="0" w:color="auto"/>
        <w:bottom w:val="none" w:sz="0" w:space="0" w:color="auto"/>
        <w:right w:val="none" w:sz="0" w:space="0" w:color="auto"/>
      </w:divBdr>
    </w:div>
    <w:div w:id="248974297">
      <w:bodyDiv w:val="1"/>
      <w:marLeft w:val="0"/>
      <w:marRight w:val="0"/>
      <w:marTop w:val="0"/>
      <w:marBottom w:val="0"/>
      <w:divBdr>
        <w:top w:val="none" w:sz="0" w:space="0" w:color="auto"/>
        <w:left w:val="none" w:sz="0" w:space="0" w:color="auto"/>
        <w:bottom w:val="none" w:sz="0" w:space="0" w:color="auto"/>
        <w:right w:val="none" w:sz="0" w:space="0" w:color="auto"/>
      </w:divBdr>
    </w:div>
    <w:div w:id="356006011">
      <w:bodyDiv w:val="1"/>
      <w:marLeft w:val="0"/>
      <w:marRight w:val="0"/>
      <w:marTop w:val="0"/>
      <w:marBottom w:val="0"/>
      <w:divBdr>
        <w:top w:val="none" w:sz="0" w:space="0" w:color="auto"/>
        <w:left w:val="none" w:sz="0" w:space="0" w:color="auto"/>
        <w:bottom w:val="none" w:sz="0" w:space="0" w:color="auto"/>
        <w:right w:val="none" w:sz="0" w:space="0" w:color="auto"/>
      </w:divBdr>
    </w:div>
    <w:div w:id="361250875">
      <w:bodyDiv w:val="1"/>
      <w:marLeft w:val="0"/>
      <w:marRight w:val="0"/>
      <w:marTop w:val="0"/>
      <w:marBottom w:val="0"/>
      <w:divBdr>
        <w:top w:val="none" w:sz="0" w:space="0" w:color="auto"/>
        <w:left w:val="none" w:sz="0" w:space="0" w:color="auto"/>
        <w:bottom w:val="none" w:sz="0" w:space="0" w:color="auto"/>
        <w:right w:val="none" w:sz="0" w:space="0" w:color="auto"/>
      </w:divBdr>
    </w:div>
    <w:div w:id="471367449">
      <w:bodyDiv w:val="1"/>
      <w:marLeft w:val="0"/>
      <w:marRight w:val="0"/>
      <w:marTop w:val="0"/>
      <w:marBottom w:val="0"/>
      <w:divBdr>
        <w:top w:val="none" w:sz="0" w:space="0" w:color="auto"/>
        <w:left w:val="none" w:sz="0" w:space="0" w:color="auto"/>
        <w:bottom w:val="none" w:sz="0" w:space="0" w:color="auto"/>
        <w:right w:val="none" w:sz="0" w:space="0" w:color="auto"/>
      </w:divBdr>
    </w:div>
    <w:div w:id="620764875">
      <w:bodyDiv w:val="1"/>
      <w:marLeft w:val="0"/>
      <w:marRight w:val="0"/>
      <w:marTop w:val="0"/>
      <w:marBottom w:val="0"/>
      <w:divBdr>
        <w:top w:val="none" w:sz="0" w:space="0" w:color="auto"/>
        <w:left w:val="none" w:sz="0" w:space="0" w:color="auto"/>
        <w:bottom w:val="none" w:sz="0" w:space="0" w:color="auto"/>
        <w:right w:val="none" w:sz="0" w:space="0" w:color="auto"/>
      </w:divBdr>
    </w:div>
    <w:div w:id="1023242606">
      <w:bodyDiv w:val="1"/>
      <w:marLeft w:val="0"/>
      <w:marRight w:val="0"/>
      <w:marTop w:val="0"/>
      <w:marBottom w:val="0"/>
      <w:divBdr>
        <w:top w:val="none" w:sz="0" w:space="0" w:color="auto"/>
        <w:left w:val="none" w:sz="0" w:space="0" w:color="auto"/>
        <w:bottom w:val="none" w:sz="0" w:space="0" w:color="auto"/>
        <w:right w:val="none" w:sz="0" w:space="0" w:color="auto"/>
      </w:divBdr>
    </w:div>
    <w:div w:id="1161311264">
      <w:bodyDiv w:val="1"/>
      <w:marLeft w:val="0"/>
      <w:marRight w:val="0"/>
      <w:marTop w:val="0"/>
      <w:marBottom w:val="0"/>
      <w:divBdr>
        <w:top w:val="none" w:sz="0" w:space="0" w:color="auto"/>
        <w:left w:val="none" w:sz="0" w:space="0" w:color="auto"/>
        <w:bottom w:val="none" w:sz="0" w:space="0" w:color="auto"/>
        <w:right w:val="none" w:sz="0" w:space="0" w:color="auto"/>
      </w:divBdr>
    </w:div>
    <w:div w:id="1254821839">
      <w:bodyDiv w:val="1"/>
      <w:marLeft w:val="0"/>
      <w:marRight w:val="0"/>
      <w:marTop w:val="0"/>
      <w:marBottom w:val="0"/>
      <w:divBdr>
        <w:top w:val="none" w:sz="0" w:space="0" w:color="auto"/>
        <w:left w:val="none" w:sz="0" w:space="0" w:color="auto"/>
        <w:bottom w:val="none" w:sz="0" w:space="0" w:color="auto"/>
        <w:right w:val="none" w:sz="0" w:space="0" w:color="auto"/>
      </w:divBdr>
    </w:div>
    <w:div w:id="1259558661">
      <w:bodyDiv w:val="1"/>
      <w:marLeft w:val="0"/>
      <w:marRight w:val="0"/>
      <w:marTop w:val="0"/>
      <w:marBottom w:val="0"/>
      <w:divBdr>
        <w:top w:val="none" w:sz="0" w:space="0" w:color="auto"/>
        <w:left w:val="none" w:sz="0" w:space="0" w:color="auto"/>
        <w:bottom w:val="none" w:sz="0" w:space="0" w:color="auto"/>
        <w:right w:val="none" w:sz="0" w:space="0" w:color="auto"/>
      </w:divBdr>
    </w:div>
    <w:div w:id="1401052227">
      <w:bodyDiv w:val="1"/>
      <w:marLeft w:val="0"/>
      <w:marRight w:val="0"/>
      <w:marTop w:val="0"/>
      <w:marBottom w:val="0"/>
      <w:divBdr>
        <w:top w:val="none" w:sz="0" w:space="0" w:color="auto"/>
        <w:left w:val="none" w:sz="0" w:space="0" w:color="auto"/>
        <w:bottom w:val="none" w:sz="0" w:space="0" w:color="auto"/>
        <w:right w:val="none" w:sz="0" w:space="0" w:color="auto"/>
      </w:divBdr>
    </w:div>
    <w:div w:id="1445928878">
      <w:bodyDiv w:val="1"/>
      <w:marLeft w:val="0"/>
      <w:marRight w:val="0"/>
      <w:marTop w:val="0"/>
      <w:marBottom w:val="0"/>
      <w:divBdr>
        <w:top w:val="none" w:sz="0" w:space="0" w:color="auto"/>
        <w:left w:val="none" w:sz="0" w:space="0" w:color="auto"/>
        <w:bottom w:val="none" w:sz="0" w:space="0" w:color="auto"/>
        <w:right w:val="none" w:sz="0" w:space="0" w:color="auto"/>
      </w:divBdr>
    </w:div>
    <w:div w:id="1476139208">
      <w:bodyDiv w:val="1"/>
      <w:marLeft w:val="0"/>
      <w:marRight w:val="0"/>
      <w:marTop w:val="0"/>
      <w:marBottom w:val="0"/>
      <w:divBdr>
        <w:top w:val="none" w:sz="0" w:space="0" w:color="auto"/>
        <w:left w:val="none" w:sz="0" w:space="0" w:color="auto"/>
        <w:bottom w:val="none" w:sz="0" w:space="0" w:color="auto"/>
        <w:right w:val="none" w:sz="0" w:space="0" w:color="auto"/>
      </w:divBdr>
    </w:div>
    <w:div w:id="1591045819">
      <w:bodyDiv w:val="1"/>
      <w:marLeft w:val="0"/>
      <w:marRight w:val="0"/>
      <w:marTop w:val="0"/>
      <w:marBottom w:val="0"/>
      <w:divBdr>
        <w:top w:val="none" w:sz="0" w:space="0" w:color="auto"/>
        <w:left w:val="none" w:sz="0" w:space="0" w:color="auto"/>
        <w:bottom w:val="none" w:sz="0" w:space="0" w:color="auto"/>
        <w:right w:val="none" w:sz="0" w:space="0" w:color="auto"/>
      </w:divBdr>
    </w:div>
    <w:div w:id="1747530134">
      <w:bodyDiv w:val="1"/>
      <w:marLeft w:val="0"/>
      <w:marRight w:val="0"/>
      <w:marTop w:val="0"/>
      <w:marBottom w:val="0"/>
      <w:divBdr>
        <w:top w:val="none" w:sz="0" w:space="0" w:color="auto"/>
        <w:left w:val="none" w:sz="0" w:space="0" w:color="auto"/>
        <w:bottom w:val="none" w:sz="0" w:space="0" w:color="auto"/>
        <w:right w:val="none" w:sz="0" w:space="0" w:color="auto"/>
      </w:divBdr>
    </w:div>
    <w:div w:id="1762140724">
      <w:bodyDiv w:val="1"/>
      <w:marLeft w:val="0"/>
      <w:marRight w:val="0"/>
      <w:marTop w:val="0"/>
      <w:marBottom w:val="0"/>
      <w:divBdr>
        <w:top w:val="none" w:sz="0" w:space="0" w:color="auto"/>
        <w:left w:val="none" w:sz="0" w:space="0" w:color="auto"/>
        <w:bottom w:val="none" w:sz="0" w:space="0" w:color="auto"/>
        <w:right w:val="none" w:sz="0" w:space="0" w:color="auto"/>
      </w:divBdr>
    </w:div>
    <w:div w:id="1865703629">
      <w:bodyDiv w:val="1"/>
      <w:marLeft w:val="0"/>
      <w:marRight w:val="0"/>
      <w:marTop w:val="0"/>
      <w:marBottom w:val="0"/>
      <w:divBdr>
        <w:top w:val="none" w:sz="0" w:space="0" w:color="auto"/>
        <w:left w:val="none" w:sz="0" w:space="0" w:color="auto"/>
        <w:bottom w:val="none" w:sz="0" w:space="0" w:color="auto"/>
        <w:right w:val="none" w:sz="0" w:space="0" w:color="auto"/>
      </w:divBdr>
    </w:div>
    <w:div w:id="1914047706">
      <w:bodyDiv w:val="1"/>
      <w:marLeft w:val="0"/>
      <w:marRight w:val="0"/>
      <w:marTop w:val="0"/>
      <w:marBottom w:val="0"/>
      <w:divBdr>
        <w:top w:val="none" w:sz="0" w:space="0" w:color="auto"/>
        <w:left w:val="none" w:sz="0" w:space="0" w:color="auto"/>
        <w:bottom w:val="none" w:sz="0" w:space="0" w:color="auto"/>
        <w:right w:val="none" w:sz="0" w:space="0" w:color="auto"/>
      </w:divBdr>
    </w:div>
    <w:div w:id="1959220473">
      <w:bodyDiv w:val="1"/>
      <w:marLeft w:val="0"/>
      <w:marRight w:val="0"/>
      <w:marTop w:val="0"/>
      <w:marBottom w:val="0"/>
      <w:divBdr>
        <w:top w:val="none" w:sz="0" w:space="0" w:color="auto"/>
        <w:left w:val="none" w:sz="0" w:space="0" w:color="auto"/>
        <w:bottom w:val="none" w:sz="0" w:space="0" w:color="auto"/>
        <w:right w:val="none" w:sz="0" w:space="0" w:color="auto"/>
      </w:divBdr>
    </w:div>
    <w:div w:id="20619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binet-office-control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file:///C:\Users\richard\Tropical%20Health%20&amp;%20Education%20Trust\Data%20-%20Documents\Thet%20Shared\PROGRAMMES\MULTI-COUNTRY\Projects\Global%20Health%20Workforce%20Programme\09_Grants%20management\Contract\ODA%20Grant%20Agreement%20THET%20Exter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2506-3729-412E-9494-9E920DD3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45</Pages>
  <Words>15992</Words>
  <Characters>91155</Characters>
  <Application>Microsoft Office Word</Application>
  <DocSecurity>0</DocSecurity>
  <Lines>759</Lines>
  <Paragraphs>213</Paragraphs>
  <ScaleCrop>false</ScaleCrop>
  <Company/>
  <LinksUpToDate>false</LinksUpToDate>
  <CharactersWithSpaces>106934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Richard Skone-James</cp:lastModifiedBy>
  <cp:revision>12</cp:revision>
  <dcterms:created xsi:type="dcterms:W3CDTF">2023-09-25T09:56:00Z</dcterms:created>
  <dcterms:modified xsi:type="dcterms:W3CDTF">2023-09-28T18:32:00Z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LEGAL02#105566475v3[LXC11]</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ies>
</file>